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E653EC" w14:textId="14021A57" w:rsidR="00D15300" w:rsidRDefault="00D15300" w:rsidP="00D15300">
      <w:pPr>
        <w:pStyle w:val="CRCoverPage"/>
        <w:tabs>
          <w:tab w:val="right" w:pos="9639"/>
        </w:tabs>
        <w:spacing w:after="0"/>
        <w:rPr>
          <w:b/>
          <w:i/>
          <w:noProof/>
          <w:sz w:val="28"/>
        </w:rPr>
      </w:pPr>
      <w:r>
        <w:rPr>
          <w:b/>
          <w:noProof/>
          <w:sz w:val="24"/>
        </w:rPr>
        <w:t>3GPP TSG-RAN WG2 Meeting #99</w:t>
      </w:r>
      <w:r w:rsidR="00520803">
        <w:rPr>
          <w:b/>
          <w:noProof/>
          <w:sz w:val="24"/>
        </w:rPr>
        <w:t>bis</w:t>
      </w:r>
      <w:r>
        <w:rPr>
          <w:b/>
          <w:i/>
          <w:noProof/>
          <w:sz w:val="28"/>
        </w:rPr>
        <w:tab/>
      </w:r>
      <w:r w:rsidRPr="00237BD1">
        <w:rPr>
          <w:b/>
          <w:noProof/>
          <w:sz w:val="28"/>
        </w:rPr>
        <w:t>R2-</w:t>
      </w:r>
      <w:r w:rsidR="00D11D37" w:rsidRPr="00D11D37">
        <w:rPr>
          <w:b/>
          <w:noProof/>
          <w:sz w:val="28"/>
        </w:rPr>
        <w:t>1711338</w:t>
      </w:r>
    </w:p>
    <w:p w14:paraId="69701E68" w14:textId="10D35D37" w:rsidR="00520803" w:rsidRPr="004977BE" w:rsidRDefault="00520803" w:rsidP="00520803">
      <w:pPr>
        <w:pStyle w:val="Header"/>
        <w:rPr>
          <w:lang w:val="en-GB"/>
        </w:rPr>
      </w:pPr>
      <w:r w:rsidRPr="00520803">
        <w:rPr>
          <w:rFonts w:cs="Times New Roman"/>
          <w:bCs w:val="0"/>
          <w:sz w:val="24"/>
          <w:szCs w:val="20"/>
          <w:lang w:val="en-GB" w:eastAsia="en-US"/>
        </w:rPr>
        <w:t xml:space="preserve">Prague, Czech Republic, 9th – 13th October </w:t>
      </w:r>
    </w:p>
    <w:p w14:paraId="0D4B63A3" w14:textId="68F36417" w:rsidR="00520803" w:rsidRPr="004977BE" w:rsidRDefault="00520803" w:rsidP="00520803">
      <w:pPr>
        <w:pStyle w:val="Header"/>
        <w:rPr>
          <w:lang w:val="en-GB"/>
        </w:rPr>
      </w:pPr>
    </w:p>
    <w:p w14:paraId="3928DDFD" w14:textId="77777777" w:rsidR="00234FBD" w:rsidRPr="00BF7FE1" w:rsidRDefault="00234FBD" w:rsidP="00234FBD">
      <w:pPr>
        <w:pStyle w:val="3GPPHeader"/>
      </w:pPr>
    </w:p>
    <w:p w14:paraId="1BE6B8C1" w14:textId="0C24CCC6" w:rsidR="00BF63B4" w:rsidRDefault="00234FBD" w:rsidP="00C91A48">
      <w:pPr>
        <w:pStyle w:val="3GPPHeader"/>
        <w:rPr>
          <w:sz w:val="22"/>
          <w:szCs w:val="22"/>
          <w:lang w:val="en-US"/>
        </w:rPr>
      </w:pPr>
      <w:r w:rsidRPr="00F768C7">
        <w:rPr>
          <w:sz w:val="22"/>
          <w:szCs w:val="22"/>
          <w:lang w:val="en-US"/>
        </w:rPr>
        <w:t>Agenda Item:</w:t>
      </w:r>
      <w:r w:rsidRPr="00F768C7">
        <w:rPr>
          <w:sz w:val="22"/>
          <w:szCs w:val="22"/>
          <w:lang w:val="en-US"/>
        </w:rPr>
        <w:tab/>
      </w:r>
      <w:r w:rsidR="006B1A39" w:rsidRPr="00D11D37">
        <w:rPr>
          <w:sz w:val="22"/>
          <w:szCs w:val="22"/>
          <w:lang w:val="en-US"/>
        </w:rPr>
        <w:t>10.4.1.4.3</w:t>
      </w:r>
    </w:p>
    <w:p w14:paraId="65BFEB30" w14:textId="10E0D20B" w:rsidR="00C91A48" w:rsidRPr="00CE0424" w:rsidRDefault="00C91A48" w:rsidP="00C91A48">
      <w:pPr>
        <w:pStyle w:val="3GPPHeader"/>
        <w:rPr>
          <w:sz w:val="22"/>
          <w:szCs w:val="22"/>
        </w:rPr>
      </w:pPr>
      <w:r>
        <w:rPr>
          <w:sz w:val="22"/>
          <w:szCs w:val="22"/>
        </w:rPr>
        <w:t>Source:</w:t>
      </w:r>
      <w:r w:rsidRPr="00CE0424">
        <w:rPr>
          <w:sz w:val="22"/>
          <w:szCs w:val="22"/>
        </w:rPr>
        <w:tab/>
        <w:t>Ericsson</w:t>
      </w:r>
    </w:p>
    <w:p w14:paraId="0EAE7DFC" w14:textId="5DAEF31F" w:rsidR="00C91A48" w:rsidRPr="00CE0424" w:rsidRDefault="00C91A48" w:rsidP="00C91A48">
      <w:pPr>
        <w:pStyle w:val="3GPPHeader"/>
        <w:rPr>
          <w:sz w:val="22"/>
          <w:szCs w:val="22"/>
        </w:rPr>
      </w:pPr>
      <w:r>
        <w:rPr>
          <w:sz w:val="22"/>
          <w:szCs w:val="22"/>
        </w:rPr>
        <w:t>Title:</w:t>
      </w:r>
      <w:r w:rsidRPr="00CE0424">
        <w:rPr>
          <w:sz w:val="22"/>
          <w:szCs w:val="22"/>
        </w:rPr>
        <w:tab/>
      </w:r>
      <w:r w:rsidR="00C8343A">
        <w:rPr>
          <w:sz w:val="22"/>
          <w:szCs w:val="22"/>
        </w:rPr>
        <w:t>R</w:t>
      </w:r>
      <w:r w:rsidR="00856922">
        <w:rPr>
          <w:sz w:val="22"/>
          <w:szCs w:val="22"/>
        </w:rPr>
        <w:t>emaining details</w:t>
      </w:r>
      <w:r w:rsidR="00C8343A">
        <w:rPr>
          <w:sz w:val="22"/>
          <w:szCs w:val="22"/>
        </w:rPr>
        <w:t xml:space="preserve"> for MO</w:t>
      </w:r>
    </w:p>
    <w:p w14:paraId="5723F573" w14:textId="77777777" w:rsidR="00C91A48" w:rsidRPr="00CE0424" w:rsidRDefault="00C91A48" w:rsidP="00C91A48">
      <w:pPr>
        <w:pStyle w:val="3GPPHeader"/>
        <w:rPr>
          <w:sz w:val="22"/>
          <w:szCs w:val="22"/>
        </w:rPr>
      </w:pPr>
      <w:r w:rsidRPr="00CE0424">
        <w:rPr>
          <w:sz w:val="22"/>
          <w:szCs w:val="22"/>
        </w:rPr>
        <w:t>Document for:</w:t>
      </w:r>
      <w:r w:rsidRPr="00CE0424">
        <w:rPr>
          <w:sz w:val="22"/>
          <w:szCs w:val="22"/>
        </w:rPr>
        <w:tab/>
      </w:r>
      <w:r w:rsidRPr="004C41AE">
        <w:rPr>
          <w:sz w:val="22"/>
          <w:szCs w:val="22"/>
        </w:rPr>
        <w:t>Discussion, Decision</w:t>
      </w:r>
    </w:p>
    <w:p w14:paraId="78830BFB" w14:textId="77777777" w:rsidR="00E90E49" w:rsidRDefault="00E90E49" w:rsidP="00CE0424">
      <w:pPr>
        <w:pStyle w:val="Heading1"/>
      </w:pPr>
      <w:r w:rsidRPr="00CE0424">
        <w:t>Introduction</w:t>
      </w:r>
    </w:p>
    <w:p w14:paraId="460CAC5F" w14:textId="0DFB3735" w:rsidR="007D0E4A" w:rsidRDefault="007D0E4A" w:rsidP="005D7E92">
      <w:pPr>
        <w:pStyle w:val="BodyText"/>
        <w:rPr>
          <w:rFonts w:cs="Arial"/>
          <w:lang w:val="en-US"/>
        </w:rPr>
      </w:pPr>
      <w:bookmarkStart w:id="0" w:name="_Ref178064866"/>
      <w:r>
        <w:rPr>
          <w:rFonts w:cs="Arial"/>
          <w:lang w:val="en-US"/>
        </w:rPr>
        <w:t>In RAN2#99</w:t>
      </w:r>
      <w:r w:rsidR="00CD1AC5">
        <w:rPr>
          <w:rFonts w:cs="Arial"/>
          <w:lang w:val="en-US"/>
        </w:rPr>
        <w:t>,</w:t>
      </w:r>
      <w:r w:rsidR="005D7E92" w:rsidRPr="0099216C">
        <w:rPr>
          <w:rFonts w:cs="Arial"/>
          <w:lang w:val="en-US"/>
        </w:rPr>
        <w:t xml:space="preserve"> </w:t>
      </w:r>
      <w:r w:rsidR="00CD1AC5">
        <w:rPr>
          <w:rFonts w:cs="Arial"/>
          <w:lang w:val="en-US"/>
        </w:rPr>
        <w:t>t</w:t>
      </w:r>
      <w:r>
        <w:rPr>
          <w:rFonts w:cs="Arial"/>
          <w:lang w:val="en-US"/>
        </w:rPr>
        <w:t xml:space="preserve">he following agreements </w:t>
      </w:r>
      <w:r w:rsidR="00CD1AC5">
        <w:rPr>
          <w:rFonts w:cs="Arial"/>
          <w:lang w:val="en-US"/>
        </w:rPr>
        <w:t>w</w:t>
      </w:r>
      <w:r>
        <w:rPr>
          <w:rFonts w:cs="Arial"/>
          <w:lang w:val="en-US"/>
        </w:rPr>
        <w:t>ere reached</w:t>
      </w:r>
      <w:r w:rsidR="00CD1AC5">
        <w:rPr>
          <w:rFonts w:cs="Arial"/>
          <w:lang w:val="en-US"/>
        </w:rPr>
        <w:t xml:space="preserve"> </w:t>
      </w:r>
      <w:r w:rsidR="00411A00">
        <w:rPr>
          <w:rFonts w:cs="Arial"/>
          <w:lang w:val="en-US"/>
        </w:rPr>
        <w:t xml:space="preserve">for a measurement object for a carrier that has SSB, agreement number 3, and for a carrier that does not have SSB, agreement number 2. </w:t>
      </w:r>
    </w:p>
    <w:p w14:paraId="7E6695A7" w14:textId="77777777" w:rsidR="007D0E4A" w:rsidRDefault="007D0E4A" w:rsidP="007D0E4A">
      <w:pPr>
        <w:pStyle w:val="Doc-text2"/>
      </w:pPr>
    </w:p>
    <w:p w14:paraId="40881F67" w14:textId="77777777" w:rsidR="007D0E4A" w:rsidRDefault="007D0E4A" w:rsidP="007D0E4A">
      <w:pPr>
        <w:pStyle w:val="Doc-text2"/>
        <w:pBdr>
          <w:top w:val="single" w:sz="4" w:space="1" w:color="auto"/>
          <w:left w:val="single" w:sz="4" w:space="4" w:color="auto"/>
          <w:bottom w:val="single" w:sz="4" w:space="1" w:color="auto"/>
          <w:right w:val="single" w:sz="4" w:space="4" w:color="auto"/>
        </w:pBdr>
      </w:pPr>
      <w:r>
        <w:t>Agreements</w:t>
      </w:r>
    </w:p>
    <w:p w14:paraId="41299673" w14:textId="77777777" w:rsidR="007D0E4A" w:rsidRDefault="007D0E4A" w:rsidP="007D0E4A">
      <w:pPr>
        <w:pStyle w:val="Doc-text2"/>
        <w:pBdr>
          <w:top w:val="single" w:sz="4" w:space="1" w:color="auto"/>
          <w:left w:val="single" w:sz="4" w:space="4" w:color="auto"/>
          <w:bottom w:val="single" w:sz="4" w:space="1" w:color="auto"/>
          <w:right w:val="single" w:sz="4" w:space="4" w:color="auto"/>
        </w:pBdr>
      </w:pPr>
      <w:r>
        <w:t>1</w:t>
      </w:r>
      <w:r>
        <w:tab/>
        <w:t>There is one NR-ARFCN per MO</w:t>
      </w:r>
    </w:p>
    <w:p w14:paraId="737D800F" w14:textId="77777777" w:rsidR="007D0E4A" w:rsidRDefault="007D0E4A" w:rsidP="007D0E4A">
      <w:pPr>
        <w:pStyle w:val="Doc-text2"/>
        <w:pBdr>
          <w:top w:val="single" w:sz="4" w:space="1" w:color="auto"/>
          <w:left w:val="single" w:sz="4" w:space="4" w:color="auto"/>
          <w:bottom w:val="single" w:sz="4" w:space="1" w:color="auto"/>
          <w:right w:val="single" w:sz="4" w:space="4" w:color="auto"/>
        </w:pBdr>
      </w:pPr>
    </w:p>
    <w:p w14:paraId="30A6A7D3" w14:textId="77777777" w:rsidR="007D0E4A" w:rsidRDefault="007D0E4A" w:rsidP="007D0E4A">
      <w:pPr>
        <w:pStyle w:val="Doc-text2"/>
        <w:pBdr>
          <w:top w:val="single" w:sz="4" w:space="1" w:color="auto"/>
          <w:left w:val="single" w:sz="4" w:space="4" w:color="auto"/>
          <w:bottom w:val="single" w:sz="4" w:space="1" w:color="auto"/>
          <w:right w:val="single" w:sz="4" w:space="4" w:color="auto"/>
        </w:pBdr>
      </w:pPr>
      <w:r>
        <w:t>2</w:t>
      </w:r>
      <w:r>
        <w:tab/>
      </w:r>
      <w:r w:rsidRPr="00B71526">
        <w:t>For measurements of carriers where SSB</w:t>
      </w:r>
      <w:r>
        <w:t xml:space="preserve"> is not present (measurements performed on CSI-RS):</w:t>
      </w:r>
    </w:p>
    <w:p w14:paraId="0481248B" w14:textId="77777777" w:rsidR="007D0E4A" w:rsidRDefault="007D0E4A" w:rsidP="007D0E4A">
      <w:pPr>
        <w:pStyle w:val="Doc-text2"/>
        <w:pBdr>
          <w:top w:val="single" w:sz="4" w:space="1" w:color="auto"/>
          <w:left w:val="single" w:sz="4" w:space="4" w:color="auto"/>
          <w:bottom w:val="single" w:sz="4" w:space="1" w:color="auto"/>
          <w:right w:val="single" w:sz="4" w:space="4" w:color="auto"/>
        </w:pBdr>
      </w:pPr>
      <w:r>
        <w:t>i</w:t>
      </w:r>
      <w:r>
        <w:tab/>
        <w:t>MO includes CSI-RS resources for L3 mobility measurements; and</w:t>
      </w:r>
    </w:p>
    <w:p w14:paraId="6963A8A2" w14:textId="77777777" w:rsidR="007D0E4A" w:rsidRDefault="007D0E4A" w:rsidP="007D0E4A">
      <w:pPr>
        <w:pStyle w:val="Doc-text2"/>
        <w:pBdr>
          <w:top w:val="single" w:sz="4" w:space="1" w:color="auto"/>
          <w:left w:val="single" w:sz="4" w:space="4" w:color="auto"/>
          <w:bottom w:val="single" w:sz="4" w:space="1" w:color="auto"/>
          <w:right w:val="single" w:sz="4" w:space="4" w:color="auto"/>
        </w:pBdr>
      </w:pPr>
      <w:r>
        <w:t>ii</w:t>
      </w:r>
      <w:r>
        <w:tab/>
        <w:t>MO includes some indication that no SSB is provided on this carrier.</w:t>
      </w:r>
    </w:p>
    <w:p w14:paraId="2F493B46" w14:textId="77777777" w:rsidR="007D0E4A" w:rsidRDefault="007D0E4A" w:rsidP="007D0E4A">
      <w:pPr>
        <w:pStyle w:val="Doc-text2"/>
        <w:pBdr>
          <w:top w:val="single" w:sz="4" w:space="1" w:color="auto"/>
          <w:left w:val="single" w:sz="4" w:space="4" w:color="auto"/>
          <w:bottom w:val="single" w:sz="4" w:space="1" w:color="auto"/>
          <w:right w:val="single" w:sz="4" w:space="4" w:color="auto"/>
        </w:pBdr>
      </w:pPr>
      <w:r>
        <w:t>FFS Where the UE acquires timing reference for making measurements in this carrier. E.g. can UE assume timing reference from one of its serving carriers (for CA case), or does the MO include a pointer to another carrier with SSB for obtaining timing reference.</w:t>
      </w:r>
    </w:p>
    <w:p w14:paraId="2773BFE7" w14:textId="77777777" w:rsidR="007D0E4A" w:rsidRDefault="007D0E4A" w:rsidP="007D0E4A">
      <w:pPr>
        <w:pStyle w:val="Doc-text2"/>
        <w:pBdr>
          <w:top w:val="single" w:sz="4" w:space="1" w:color="auto"/>
          <w:left w:val="single" w:sz="4" w:space="4" w:color="auto"/>
          <w:bottom w:val="single" w:sz="4" w:space="1" w:color="auto"/>
          <w:right w:val="single" w:sz="4" w:space="4" w:color="auto"/>
        </w:pBdr>
      </w:pPr>
    </w:p>
    <w:p w14:paraId="1E95C1BC" w14:textId="77777777" w:rsidR="007D0E4A" w:rsidRDefault="007D0E4A" w:rsidP="007D0E4A">
      <w:pPr>
        <w:pStyle w:val="Doc-text2"/>
        <w:pBdr>
          <w:top w:val="single" w:sz="4" w:space="1" w:color="auto"/>
          <w:left w:val="single" w:sz="4" w:space="4" w:color="auto"/>
          <w:bottom w:val="single" w:sz="4" w:space="1" w:color="auto"/>
          <w:right w:val="single" w:sz="4" w:space="4" w:color="auto"/>
        </w:pBdr>
      </w:pPr>
      <w:r>
        <w:t>3</w:t>
      </w:r>
      <w:r>
        <w:tab/>
        <w:t>For measurements of carriers where SSB is present:</w:t>
      </w:r>
    </w:p>
    <w:p w14:paraId="72360157" w14:textId="77777777" w:rsidR="007D0E4A" w:rsidRDefault="007D0E4A" w:rsidP="007D0E4A">
      <w:pPr>
        <w:pStyle w:val="Doc-text2"/>
        <w:pBdr>
          <w:top w:val="single" w:sz="4" w:space="1" w:color="auto"/>
          <w:left w:val="single" w:sz="4" w:space="4" w:color="auto"/>
          <w:bottom w:val="single" w:sz="4" w:space="1" w:color="auto"/>
          <w:right w:val="single" w:sz="4" w:space="4" w:color="auto"/>
        </w:pBdr>
      </w:pPr>
      <w:r>
        <w:tab/>
        <w:t xml:space="preserve">If SSB is not located in the centre of the carrier, then offset to the ARFCN provides the location in frequency of the SSB within that carrier. </w:t>
      </w:r>
    </w:p>
    <w:p w14:paraId="1CDE61B7" w14:textId="77777777" w:rsidR="007D0E4A" w:rsidRDefault="007D0E4A" w:rsidP="007D0E4A">
      <w:pPr>
        <w:pStyle w:val="Doc-text2"/>
        <w:pBdr>
          <w:top w:val="single" w:sz="4" w:space="1" w:color="auto"/>
          <w:left w:val="single" w:sz="4" w:space="4" w:color="auto"/>
          <w:bottom w:val="single" w:sz="4" w:space="1" w:color="auto"/>
          <w:right w:val="single" w:sz="4" w:space="4" w:color="auto"/>
        </w:pBdr>
      </w:pPr>
      <w:r>
        <w:t>FFS Whether the MO has only one SSB or whether the MO can include the location of more than one SSB.</w:t>
      </w:r>
    </w:p>
    <w:p w14:paraId="1A576DBE" w14:textId="77777777" w:rsidR="007D0E4A" w:rsidRDefault="007D0E4A" w:rsidP="007D0E4A">
      <w:pPr>
        <w:pStyle w:val="Doc-text2"/>
        <w:pBdr>
          <w:top w:val="single" w:sz="4" w:space="1" w:color="auto"/>
          <w:left w:val="single" w:sz="4" w:space="4" w:color="auto"/>
          <w:bottom w:val="single" w:sz="4" w:space="1" w:color="auto"/>
          <w:right w:val="single" w:sz="4" w:space="4" w:color="auto"/>
        </w:pBdr>
      </w:pPr>
    </w:p>
    <w:p w14:paraId="2719D7B5" w14:textId="77777777" w:rsidR="007D0E4A" w:rsidRDefault="007D0E4A" w:rsidP="007D0E4A">
      <w:pPr>
        <w:pStyle w:val="Doc-text2"/>
        <w:pBdr>
          <w:top w:val="single" w:sz="4" w:space="1" w:color="auto"/>
          <w:left w:val="single" w:sz="4" w:space="4" w:color="auto"/>
          <w:bottom w:val="single" w:sz="4" w:space="1" w:color="auto"/>
          <w:right w:val="single" w:sz="4" w:space="4" w:color="auto"/>
        </w:pBdr>
      </w:pPr>
      <w:r>
        <w:t>Agreements above relate to a single BWP in which case the NR ARFCN would be the centre of the BWP. Case of multiple BWPs is FFS</w:t>
      </w:r>
    </w:p>
    <w:p w14:paraId="5A1E3460" w14:textId="0906F4F6" w:rsidR="00B87FFE" w:rsidRPr="00194A27" w:rsidRDefault="00B87FFE" w:rsidP="00E53B48">
      <w:pPr>
        <w:pStyle w:val="BodyText"/>
        <w:rPr>
          <w:rFonts w:cs="Arial"/>
        </w:rPr>
      </w:pPr>
    </w:p>
    <w:p w14:paraId="0CB6D773" w14:textId="77777777" w:rsidR="00B87FFE" w:rsidRDefault="00B87FFE" w:rsidP="00E53B48">
      <w:pPr>
        <w:pStyle w:val="BodyText"/>
        <w:rPr>
          <w:rFonts w:cs="Arial"/>
          <w:lang w:val="en-US"/>
        </w:rPr>
      </w:pPr>
    </w:p>
    <w:p w14:paraId="25F67F06" w14:textId="0E014FDA" w:rsidR="007403BD" w:rsidRDefault="006934A8" w:rsidP="00E53B48">
      <w:pPr>
        <w:pStyle w:val="BodyText"/>
        <w:rPr>
          <w:rFonts w:cs="Arial"/>
          <w:lang w:val="en-US"/>
        </w:rPr>
      </w:pPr>
      <w:r>
        <w:rPr>
          <w:rFonts w:cs="Arial"/>
          <w:lang w:val="en-US"/>
        </w:rPr>
        <w:t>In this contribution, we</w:t>
      </w:r>
      <w:r w:rsidR="005D7E92" w:rsidRPr="0099216C">
        <w:rPr>
          <w:rFonts w:cs="Arial"/>
          <w:lang w:val="en-US"/>
        </w:rPr>
        <w:t xml:space="preserve"> </w:t>
      </w:r>
      <w:r w:rsidR="00BA1D9F">
        <w:rPr>
          <w:rFonts w:cs="Arial"/>
          <w:lang w:val="en-US"/>
        </w:rPr>
        <w:t>address the FFS points of the above agreements</w:t>
      </w:r>
      <w:r w:rsidR="007403BD">
        <w:rPr>
          <w:rFonts w:cs="Arial"/>
          <w:lang w:val="en-US"/>
        </w:rPr>
        <w:t>.</w:t>
      </w:r>
    </w:p>
    <w:p w14:paraId="66DF8436" w14:textId="2B62DAAA" w:rsidR="002A3BF3" w:rsidRDefault="004000E8" w:rsidP="002A3BF3">
      <w:pPr>
        <w:pStyle w:val="Heading1"/>
      </w:pPr>
      <w:r w:rsidRPr="00CE0424">
        <w:t>Discussion</w:t>
      </w:r>
      <w:bookmarkEnd w:id="0"/>
    </w:p>
    <w:p w14:paraId="61886F87" w14:textId="77777777" w:rsidR="00805AF5" w:rsidRDefault="00805AF5" w:rsidP="00805AF5">
      <w:r>
        <w:t xml:space="preserve">RAN2 has defined that a MO is defined by NR-ARFCN. Additionally, RAN2 agreed that MO should include frequency offset to point to an SSB as SSB might not be at the centre of NR-ARFCN. </w:t>
      </w:r>
    </w:p>
    <w:p w14:paraId="4A2B6EB3" w14:textId="77777777" w:rsidR="00805AF5" w:rsidRDefault="00805AF5" w:rsidP="00805AF5"/>
    <w:p w14:paraId="2E0BAF87" w14:textId="1282F0E7" w:rsidR="00D132C9" w:rsidRPr="00D132C9" w:rsidRDefault="004320C5" w:rsidP="00D132C9">
      <w:pPr>
        <w:pStyle w:val="Heading2"/>
      </w:pPr>
      <w:r>
        <w:t>Multiple</w:t>
      </w:r>
      <w:r w:rsidR="00297E58">
        <w:t xml:space="preserve"> SS</w:t>
      </w:r>
      <w:r>
        <w:t>/P</w:t>
      </w:r>
      <w:r w:rsidR="00297E58">
        <w:t>B</w:t>
      </w:r>
      <w:r>
        <w:t>CH blocks within a wideband carrier</w:t>
      </w:r>
    </w:p>
    <w:p w14:paraId="0E18D973" w14:textId="335E2A6F" w:rsidR="004320C5" w:rsidRDefault="00B72F59" w:rsidP="00D132C9">
      <w:bookmarkStart w:id="1" w:name="_Toc485388589"/>
      <w:bookmarkStart w:id="2" w:name="_Hlk485381978"/>
      <w:r>
        <w:t xml:space="preserve">In RAN1 NR Ad-hoc#3, RAN1 discussed again the multiple SSBs within a wideband carrier and sent RAN2 reply LS </w:t>
      </w:r>
      <w:r>
        <w:fldChar w:fldCharType="begin"/>
      </w:r>
      <w:r>
        <w:instrText xml:space="preserve"> REF _Ref493776116 \r \h </w:instrText>
      </w:r>
      <w:r>
        <w:fldChar w:fldCharType="separate"/>
      </w:r>
      <w:r>
        <w:t>[1]</w:t>
      </w:r>
      <w:r>
        <w:fldChar w:fldCharType="end"/>
      </w:r>
      <w:r>
        <w:t xml:space="preserve"> to</w:t>
      </w:r>
      <w:r w:rsidR="00896D7D">
        <w:t xml:space="preserve"> R2-1709983:</w:t>
      </w:r>
    </w:p>
    <w:p w14:paraId="0F8D1F0D" w14:textId="77777777" w:rsidR="00896D7D" w:rsidRPr="00896D7D" w:rsidRDefault="00896D7D" w:rsidP="00896D7D">
      <w:pPr>
        <w:ind w:left="567"/>
        <w:rPr>
          <w:rFonts w:cs="Arial"/>
          <w:b/>
          <w:i/>
        </w:rPr>
      </w:pPr>
      <w:r w:rsidRPr="00896D7D">
        <w:rPr>
          <w:rFonts w:cs="Arial"/>
          <w:b/>
          <w:i/>
        </w:rPr>
        <w:t>1. Overall Description:</w:t>
      </w:r>
    </w:p>
    <w:p w14:paraId="33ECFE08" w14:textId="77777777" w:rsidR="00896D7D" w:rsidRPr="00896D7D" w:rsidRDefault="00896D7D" w:rsidP="00896D7D">
      <w:pPr>
        <w:spacing w:after="60"/>
        <w:ind w:left="567"/>
        <w:rPr>
          <w:rFonts w:cs="Arial"/>
          <w:i/>
        </w:rPr>
      </w:pPr>
      <w:bookmarkStart w:id="3" w:name="_Hlk494275490"/>
      <w:r w:rsidRPr="00896D7D">
        <w:rPr>
          <w:rFonts w:cs="Arial"/>
          <w:i/>
          <w:lang w:val="en-US"/>
        </w:rPr>
        <w:lastRenderedPageBreak/>
        <w:t xml:space="preserve">RAN1 again discussed multiple </w:t>
      </w:r>
      <w:r w:rsidRPr="00896D7D">
        <w:rPr>
          <w:rFonts w:eastAsia="MS Mincho" w:cs="Arial"/>
          <w:i/>
          <w:lang w:eastAsia="ja-JP"/>
        </w:rPr>
        <w:t xml:space="preserve">SS/PBCH blocks </w:t>
      </w:r>
      <w:r w:rsidRPr="00896D7D">
        <w:rPr>
          <w:rFonts w:cs="Arial"/>
          <w:bCs/>
          <w:i/>
        </w:rPr>
        <w:t>within a wideband carrier and has made the following additional agreements:</w:t>
      </w:r>
    </w:p>
    <w:p w14:paraId="25DA3740" w14:textId="77777777" w:rsidR="00896D7D" w:rsidRPr="00896D7D" w:rsidRDefault="00896D7D" w:rsidP="00896D7D">
      <w:pPr>
        <w:numPr>
          <w:ilvl w:val="0"/>
          <w:numId w:val="41"/>
        </w:numPr>
        <w:overflowPunct/>
        <w:autoSpaceDE/>
        <w:autoSpaceDN/>
        <w:adjustRightInd/>
        <w:spacing w:after="0"/>
        <w:ind w:left="1287"/>
        <w:jc w:val="left"/>
        <w:textAlignment w:val="auto"/>
        <w:rPr>
          <w:i/>
        </w:rPr>
      </w:pPr>
      <w:r w:rsidRPr="00896D7D">
        <w:rPr>
          <w:i/>
        </w:rPr>
        <w:t>From UE perspective, a cell is associated with a single SS block</w:t>
      </w:r>
    </w:p>
    <w:p w14:paraId="3F864A86" w14:textId="77777777" w:rsidR="00896D7D" w:rsidRPr="00896D7D" w:rsidRDefault="00896D7D" w:rsidP="00896D7D">
      <w:pPr>
        <w:numPr>
          <w:ilvl w:val="1"/>
          <w:numId w:val="41"/>
        </w:numPr>
        <w:overflowPunct/>
        <w:autoSpaceDE/>
        <w:autoSpaceDN/>
        <w:adjustRightInd/>
        <w:spacing w:after="0"/>
        <w:ind w:left="2007"/>
        <w:jc w:val="left"/>
        <w:textAlignment w:val="auto"/>
        <w:rPr>
          <w:i/>
        </w:rPr>
      </w:pPr>
      <w:r w:rsidRPr="00896D7D">
        <w:rPr>
          <w:i/>
        </w:rPr>
        <w:t>Note: The cell defining SS block has an associated RMSI</w:t>
      </w:r>
    </w:p>
    <w:p w14:paraId="1DE5B9F8" w14:textId="77777777" w:rsidR="00896D7D" w:rsidRPr="00896D7D" w:rsidRDefault="00896D7D" w:rsidP="00896D7D">
      <w:pPr>
        <w:numPr>
          <w:ilvl w:val="0"/>
          <w:numId w:val="41"/>
        </w:numPr>
        <w:overflowPunct/>
        <w:autoSpaceDE/>
        <w:autoSpaceDN/>
        <w:adjustRightInd/>
        <w:spacing w:after="0"/>
        <w:ind w:left="1287"/>
        <w:jc w:val="left"/>
        <w:textAlignment w:val="auto"/>
        <w:rPr>
          <w:i/>
        </w:rPr>
      </w:pPr>
      <w:r w:rsidRPr="00896D7D">
        <w:rPr>
          <w:i/>
        </w:rPr>
        <w:t xml:space="preserve">Multiple SS blocks can be transmitted within the </w:t>
      </w:r>
      <w:r w:rsidRPr="00896D7D">
        <w:rPr>
          <w:i/>
          <w:u w:val="single"/>
        </w:rPr>
        <w:t>bandwidth</w:t>
      </w:r>
      <w:r w:rsidRPr="00896D7D">
        <w:rPr>
          <w:i/>
        </w:rPr>
        <w:t xml:space="preserve"> of a wideband carrier</w:t>
      </w:r>
    </w:p>
    <w:bookmarkEnd w:id="3"/>
    <w:p w14:paraId="111C16EB" w14:textId="77777777" w:rsidR="00896D7D" w:rsidRPr="00896D7D" w:rsidRDefault="00896D7D" w:rsidP="00896D7D">
      <w:pPr>
        <w:tabs>
          <w:tab w:val="left" w:pos="1440"/>
        </w:tabs>
        <w:ind w:left="567"/>
        <w:rPr>
          <w:rFonts w:eastAsia="MS Mincho" w:cs="Arial"/>
          <w:i/>
          <w:lang w:eastAsia="ja-JP"/>
        </w:rPr>
      </w:pPr>
    </w:p>
    <w:p w14:paraId="7FDBD449" w14:textId="728FEDC5" w:rsidR="00896D7D" w:rsidRPr="00896D7D" w:rsidRDefault="00896D7D" w:rsidP="00896D7D">
      <w:pPr>
        <w:tabs>
          <w:tab w:val="left" w:pos="1440"/>
        </w:tabs>
        <w:ind w:left="567"/>
        <w:rPr>
          <w:rFonts w:eastAsia="MS Mincho" w:cs="Arial"/>
          <w:i/>
          <w:lang w:val="en-US" w:eastAsia="ja-JP"/>
        </w:rPr>
      </w:pPr>
      <w:r w:rsidRPr="00896D7D">
        <w:rPr>
          <w:rFonts w:eastAsia="MS Mincho" w:cs="Arial"/>
          <w:i/>
          <w:lang w:eastAsia="ja-JP"/>
        </w:rPr>
        <w:t>RAN1 hopes this clarifies the case of multiple SS/PBCH blocks within a wideband carrier.</w:t>
      </w:r>
    </w:p>
    <w:p w14:paraId="2F6BE12B" w14:textId="77777777" w:rsidR="00896D7D" w:rsidRPr="00896D7D" w:rsidRDefault="00896D7D" w:rsidP="00896D7D">
      <w:pPr>
        <w:ind w:left="567"/>
        <w:rPr>
          <w:rFonts w:cs="Arial"/>
          <w:b/>
          <w:i/>
        </w:rPr>
      </w:pPr>
      <w:r w:rsidRPr="00896D7D">
        <w:rPr>
          <w:rFonts w:cs="Arial"/>
          <w:b/>
          <w:i/>
        </w:rPr>
        <w:t>2. Actions:</w:t>
      </w:r>
    </w:p>
    <w:p w14:paraId="58A9F0C8" w14:textId="77777777" w:rsidR="00896D7D" w:rsidRDefault="00896D7D" w:rsidP="00896D7D">
      <w:pPr>
        <w:ind w:left="567"/>
        <w:rPr>
          <w:rFonts w:cs="Arial"/>
        </w:rPr>
      </w:pPr>
      <w:r w:rsidRPr="00896D7D">
        <w:rPr>
          <w:rFonts w:cs="Arial"/>
          <w:i/>
        </w:rPr>
        <w:t>RAN1 would like to ask RAN2 to take the above information into account in their future work.</w:t>
      </w:r>
    </w:p>
    <w:p w14:paraId="74C07789" w14:textId="56A0C632" w:rsidR="004320C5" w:rsidRDefault="004320C5" w:rsidP="00D132C9"/>
    <w:p w14:paraId="70E046E6" w14:textId="511D1C35" w:rsidR="00B72F59" w:rsidRPr="006D3EEF" w:rsidRDefault="00896D7D" w:rsidP="00D132C9">
      <w:pPr>
        <w:rPr>
          <w:i/>
        </w:rPr>
      </w:pPr>
      <w:r>
        <w:t xml:space="preserve">It can </w:t>
      </w:r>
      <w:r>
        <w:t>be read from the LS that there is single “cell defining SS block” that has an associated RMSI</w:t>
      </w:r>
      <w:r w:rsidR="00D04570">
        <w:t>.</w:t>
      </w:r>
      <w:r w:rsidR="00E5480D">
        <w:t xml:space="preserve"> From MO point of view this would imply that a MO can point to at most one SSB location. If</w:t>
      </w:r>
      <w:r w:rsidR="00500C2E">
        <w:t xml:space="preserve"> there is a need to point to another SSB related to the same carrier, network would configure another MO. </w:t>
      </w:r>
      <w:r w:rsidR="006835E3">
        <w:t xml:space="preserve">This would also coincide well with the definition of intra- and inter-frequency for SSB based RRM measurement </w:t>
      </w:r>
      <w:r w:rsidR="006D3EEF">
        <w:t>according to</w:t>
      </w:r>
      <w:r w:rsidR="006835E3">
        <w:t xml:space="preserve"> the </w:t>
      </w:r>
      <w:r w:rsidR="00EB4892">
        <w:t xml:space="preserve">two </w:t>
      </w:r>
      <w:r w:rsidR="006835E3">
        <w:t>LS</w:t>
      </w:r>
      <w:r w:rsidR="00EB4892">
        <w:t>s</w:t>
      </w:r>
      <w:r w:rsidR="006835E3">
        <w:t xml:space="preserve"> </w:t>
      </w:r>
      <w:r w:rsidR="006D3EEF">
        <w:t xml:space="preserve">from RAN4 </w:t>
      </w:r>
      <w:r w:rsidR="006835E3">
        <w:t xml:space="preserve">in </w:t>
      </w:r>
      <w:r w:rsidR="006835E3">
        <w:fldChar w:fldCharType="begin"/>
      </w:r>
      <w:r w:rsidR="006835E3">
        <w:instrText xml:space="preserve"> REF _Ref493779117 \r \h </w:instrText>
      </w:r>
      <w:r w:rsidR="006835E3">
        <w:fldChar w:fldCharType="separate"/>
      </w:r>
      <w:r w:rsidR="006835E3">
        <w:t>[2]</w:t>
      </w:r>
      <w:r w:rsidR="006835E3">
        <w:fldChar w:fldCharType="end"/>
      </w:r>
      <w:r w:rsidR="00EB4892">
        <w:t xml:space="preserve"> and </w:t>
      </w:r>
      <w:r w:rsidR="00EB4892">
        <w:fldChar w:fldCharType="begin"/>
      </w:r>
      <w:r w:rsidR="00EB4892">
        <w:instrText xml:space="preserve"> REF _Ref494417201 \r \h </w:instrText>
      </w:r>
      <w:r w:rsidR="00EB4892">
        <w:fldChar w:fldCharType="separate"/>
      </w:r>
      <w:r w:rsidR="00EB4892">
        <w:t>[3]</w:t>
      </w:r>
      <w:r w:rsidR="00EB4892">
        <w:fldChar w:fldCharType="end"/>
      </w:r>
      <w:r w:rsidR="00EB4892">
        <w:t>, where the latter states</w:t>
      </w:r>
    </w:p>
    <w:p w14:paraId="60506604" w14:textId="56171543" w:rsidR="00B7690F" w:rsidRDefault="00B7690F" w:rsidP="006D3EEF">
      <w:pPr>
        <w:overflowPunct/>
        <w:autoSpaceDE/>
        <w:autoSpaceDN/>
        <w:adjustRightInd/>
        <w:spacing w:before="120" w:after="0"/>
        <w:jc w:val="left"/>
        <w:textAlignment w:val="auto"/>
        <w:rPr>
          <w:rFonts w:cs="Arial"/>
        </w:rPr>
      </w:pPr>
    </w:p>
    <w:p w14:paraId="3BC4D963" w14:textId="77777777" w:rsidR="00B7690F" w:rsidRPr="00EB4892" w:rsidRDefault="00B7690F" w:rsidP="00EB4892">
      <w:pPr>
        <w:ind w:left="567"/>
        <w:rPr>
          <w:i/>
        </w:rPr>
      </w:pPr>
      <w:bookmarkStart w:id="4" w:name="OLE_LINK3"/>
      <w:r w:rsidRPr="00EB4892">
        <w:rPr>
          <w:i/>
        </w:rPr>
        <w:t>In last LS [1] RAN4 sent the agreement of definitions of intra and inter frequency SS block (SSB) based measurement in single SSB scenario, where the same cell transmits only one SSB. In RAN4 NR#3</w:t>
      </w:r>
      <w:r w:rsidRPr="00EB4892">
        <w:t>, RAN4 further discussed the definitions for multiple SSBs scenario, where multiple SSBs are transmitted in frequency domain in the serving cell of the UE. In RAN4 understanding, to make the UE measurement behaviour clear, the UE should be indicated with one specific SSB in the UE’s serving cell which is used for measurement for mobility purpose in multiple SSBs scenario.</w:t>
      </w:r>
      <w:r w:rsidRPr="00EB4892">
        <w:rPr>
          <w:i/>
        </w:rPr>
        <w:t xml:space="preserve"> Hence RAN4 would like to inform RAN2 with the updated definitions which can cover both single and multiple SSB scenarios.</w:t>
      </w:r>
      <w:bookmarkEnd w:id="4"/>
    </w:p>
    <w:p w14:paraId="09D4900C" w14:textId="77777777" w:rsidR="00B7690F" w:rsidRPr="00EB4892" w:rsidRDefault="00B7690F" w:rsidP="00EB4892">
      <w:pPr>
        <w:ind w:left="567"/>
        <w:rPr>
          <w:i/>
        </w:rPr>
      </w:pPr>
    </w:p>
    <w:p w14:paraId="3AA6D11C" w14:textId="77777777" w:rsidR="00B7690F" w:rsidRPr="00EB4892" w:rsidRDefault="00B7690F" w:rsidP="00EB4892">
      <w:pPr>
        <w:ind w:left="567"/>
        <w:rPr>
          <w:rFonts w:cs="Arial"/>
          <w:b/>
          <w:i/>
        </w:rPr>
      </w:pPr>
      <w:r w:rsidRPr="00EB4892">
        <w:rPr>
          <w:rFonts w:cs="Arial"/>
          <w:b/>
          <w:i/>
        </w:rPr>
        <w:t>2. Updated definitions of intra and inter-frequency SS block based measurements:</w:t>
      </w:r>
    </w:p>
    <w:p w14:paraId="2CB0F438" w14:textId="77777777" w:rsidR="00B7690F" w:rsidRPr="00EB4892" w:rsidRDefault="00B7690F" w:rsidP="00EB4892">
      <w:pPr>
        <w:spacing w:after="180"/>
        <w:ind w:left="567"/>
        <w:rPr>
          <w:b/>
          <w:i/>
          <w:lang w:val="en-US"/>
        </w:rPr>
      </w:pPr>
      <w:bookmarkStart w:id="5" w:name="_Hlk494275114"/>
      <w:r w:rsidRPr="00EB4892">
        <w:rPr>
          <w:b/>
          <w:i/>
          <w:lang w:val="en-US"/>
        </w:rPr>
        <w:t>SS block (SSB) based RRM Measurements:</w:t>
      </w:r>
    </w:p>
    <w:p w14:paraId="1B95C20B" w14:textId="77777777" w:rsidR="00B7690F" w:rsidRPr="00EB4892" w:rsidRDefault="00B7690F" w:rsidP="00EB4892">
      <w:pPr>
        <w:numPr>
          <w:ilvl w:val="0"/>
          <w:numId w:val="43"/>
        </w:numPr>
        <w:overflowPunct/>
        <w:autoSpaceDE/>
        <w:autoSpaceDN/>
        <w:adjustRightInd/>
        <w:spacing w:before="120" w:after="0"/>
        <w:ind w:left="1647"/>
        <w:jc w:val="left"/>
        <w:textAlignment w:val="auto"/>
        <w:rPr>
          <w:rFonts w:cs="Arial"/>
          <w:i/>
        </w:rPr>
      </w:pPr>
      <w:r w:rsidRPr="00EB4892">
        <w:rPr>
          <w:rFonts w:cs="Arial"/>
          <w:b/>
          <w:i/>
        </w:rPr>
        <w:t>SSB based Intra-frequency Measurement</w:t>
      </w:r>
      <w:r w:rsidRPr="00EB4892">
        <w:rPr>
          <w:rFonts w:cs="Arial"/>
          <w:i/>
        </w:rPr>
        <w:t>: A measurement is defined as a SSB based intra-frequency measurement provided the center frequency of the SSB</w:t>
      </w:r>
      <w:r w:rsidRPr="00EB4892">
        <w:rPr>
          <w:rFonts w:cs="Arial" w:hint="eastAsia"/>
          <w:i/>
          <w:lang w:val="en-US"/>
        </w:rPr>
        <w:t xml:space="preserve"> </w:t>
      </w:r>
      <w:r w:rsidRPr="00EB4892">
        <w:rPr>
          <w:rFonts w:cs="Arial"/>
          <w:i/>
        </w:rPr>
        <w:t>of the serving cell indicated for measurement and the center frequency of the SSB of the neighbour</w:t>
      </w:r>
      <w:r w:rsidRPr="00EB4892">
        <w:rPr>
          <w:rFonts w:cs="Arial" w:hint="eastAsia"/>
          <w:i/>
          <w:lang w:val="en-US"/>
        </w:rPr>
        <w:t xml:space="preserve"> cell</w:t>
      </w:r>
      <w:r w:rsidRPr="00EB4892">
        <w:rPr>
          <w:rFonts w:cs="Arial"/>
          <w:i/>
        </w:rPr>
        <w:t xml:space="preserve"> are the same, and </w:t>
      </w:r>
      <w:r w:rsidRPr="00EB4892">
        <w:rPr>
          <w:rFonts w:cs="Arial" w:hint="eastAsia"/>
          <w:i/>
          <w:lang w:val="en-US"/>
        </w:rPr>
        <w:t>the subcarrier spacing of the two SSBs are also the same.</w:t>
      </w:r>
    </w:p>
    <w:p w14:paraId="5B41CE3A" w14:textId="77777777" w:rsidR="00B7690F" w:rsidRPr="00EB4892" w:rsidRDefault="00B7690F" w:rsidP="00EB4892">
      <w:pPr>
        <w:numPr>
          <w:ilvl w:val="1"/>
          <w:numId w:val="44"/>
        </w:numPr>
        <w:overflowPunct/>
        <w:autoSpaceDE/>
        <w:autoSpaceDN/>
        <w:adjustRightInd/>
        <w:spacing w:before="240" w:after="0"/>
        <w:ind w:left="1647"/>
        <w:jc w:val="left"/>
        <w:textAlignment w:val="auto"/>
        <w:rPr>
          <w:rFonts w:cs="Arial"/>
          <w:i/>
        </w:rPr>
      </w:pPr>
      <w:r w:rsidRPr="00EB4892">
        <w:rPr>
          <w:rFonts w:cs="Arial"/>
          <w:b/>
          <w:i/>
        </w:rPr>
        <w:t>SSB based Inter-frequency Measurement</w:t>
      </w:r>
      <w:r w:rsidRPr="00EB4892">
        <w:rPr>
          <w:rFonts w:cs="Arial"/>
          <w:i/>
        </w:rPr>
        <w:t xml:space="preserve">: A measurement is defined as a SSB based inter-frequency measurement provided the center frequency of the SSB of the serving cell indicated for measurement and the center frequency of the SSB of the neighbour cell are different, or </w:t>
      </w:r>
      <w:r w:rsidRPr="00EB4892">
        <w:rPr>
          <w:rFonts w:cs="Arial" w:hint="eastAsia"/>
          <w:i/>
          <w:lang w:val="en-US"/>
        </w:rPr>
        <w:t>the subcarrier spacing of the two SSBs are different.</w:t>
      </w:r>
    </w:p>
    <w:bookmarkEnd w:id="5"/>
    <w:p w14:paraId="4E9797C3" w14:textId="77777777" w:rsidR="00B7690F" w:rsidRDefault="00B7690F" w:rsidP="006D3EEF">
      <w:pPr>
        <w:overflowPunct/>
        <w:autoSpaceDE/>
        <w:autoSpaceDN/>
        <w:adjustRightInd/>
        <w:spacing w:before="120" w:after="0"/>
        <w:jc w:val="left"/>
        <w:textAlignment w:val="auto"/>
        <w:rPr>
          <w:rFonts w:cs="Arial"/>
        </w:rPr>
      </w:pPr>
    </w:p>
    <w:p w14:paraId="549FFC96" w14:textId="358CBE1F" w:rsidR="004A72AC" w:rsidRDefault="004A72AC" w:rsidP="004A72AC">
      <w:pPr>
        <w:overflowPunct/>
        <w:autoSpaceDE/>
        <w:autoSpaceDN/>
        <w:adjustRightInd/>
        <w:spacing w:before="120" w:after="0"/>
        <w:jc w:val="left"/>
        <w:textAlignment w:val="auto"/>
        <w:rPr>
          <w:rFonts w:cs="Arial"/>
        </w:rPr>
      </w:pPr>
      <w:r>
        <w:rPr>
          <w:rFonts w:cs="Arial"/>
        </w:rPr>
        <w:t>Thus, we propose to agree that MO can only point to single SSB</w:t>
      </w:r>
      <w:r w:rsidR="0078020D">
        <w:rPr>
          <w:rFonts w:cs="Arial"/>
        </w:rPr>
        <w:t xml:space="preserve"> and that network may configure UE with multiple MOs for the same NR-ARFCN if the SSB frequency location is different.</w:t>
      </w:r>
    </w:p>
    <w:p w14:paraId="6881C032" w14:textId="77777777" w:rsidR="004A72AC" w:rsidRPr="0089611D" w:rsidRDefault="004A72AC" w:rsidP="004A72AC"/>
    <w:p w14:paraId="54B7281D" w14:textId="1572C769" w:rsidR="004A72AC" w:rsidRDefault="0078020D" w:rsidP="004A72AC">
      <w:pPr>
        <w:pStyle w:val="Proposal"/>
        <w:rPr>
          <w:lang w:val="en-US"/>
        </w:rPr>
      </w:pPr>
      <w:bookmarkStart w:id="6" w:name="_Toc493785587"/>
      <w:bookmarkStart w:id="7" w:name="_Toc494417898"/>
      <w:r>
        <w:rPr>
          <w:lang w:val="en-US"/>
        </w:rPr>
        <w:t>A</w:t>
      </w:r>
      <w:r w:rsidR="004A72AC">
        <w:rPr>
          <w:lang w:val="en-US"/>
        </w:rPr>
        <w:t xml:space="preserve"> MO can only point to single SSB frequency location.</w:t>
      </w:r>
      <w:bookmarkEnd w:id="6"/>
      <w:bookmarkEnd w:id="7"/>
    </w:p>
    <w:p w14:paraId="05839B59" w14:textId="77777777" w:rsidR="0078020D" w:rsidRPr="0089611D" w:rsidRDefault="0078020D" w:rsidP="0078020D"/>
    <w:p w14:paraId="24EB4DB8" w14:textId="14D485FC" w:rsidR="0078020D" w:rsidRDefault="0078020D" w:rsidP="0078020D">
      <w:pPr>
        <w:pStyle w:val="Proposal"/>
        <w:rPr>
          <w:lang w:val="en-US"/>
        </w:rPr>
      </w:pPr>
      <w:bookmarkStart w:id="8" w:name="_Toc493785588"/>
      <w:bookmarkStart w:id="9" w:name="_Toc494417899"/>
      <w:r>
        <w:rPr>
          <w:rFonts w:cs="Arial"/>
        </w:rPr>
        <w:t xml:space="preserve">Network may configure UE with multiple MOs for the same </w:t>
      </w:r>
      <w:r w:rsidR="00EB4892">
        <w:rPr>
          <w:rFonts w:cs="Arial"/>
        </w:rPr>
        <w:t>carrier</w:t>
      </w:r>
      <w:r>
        <w:rPr>
          <w:rFonts w:cs="Arial"/>
        </w:rPr>
        <w:t xml:space="preserve"> if the SSB frequency location is different</w:t>
      </w:r>
      <w:r>
        <w:rPr>
          <w:lang w:val="en-US"/>
        </w:rPr>
        <w:t>.</w:t>
      </w:r>
      <w:bookmarkEnd w:id="8"/>
      <w:bookmarkEnd w:id="9"/>
    </w:p>
    <w:p w14:paraId="6683E369" w14:textId="739B07C8" w:rsidR="004A72AC" w:rsidRPr="004A72AC" w:rsidRDefault="004A72AC" w:rsidP="006D3EEF">
      <w:pPr>
        <w:overflowPunct/>
        <w:autoSpaceDE/>
        <w:autoSpaceDN/>
        <w:adjustRightInd/>
        <w:spacing w:before="120" w:after="0"/>
        <w:jc w:val="left"/>
        <w:textAlignment w:val="auto"/>
        <w:rPr>
          <w:rFonts w:cs="Arial"/>
          <w:lang w:val="en-US"/>
        </w:rPr>
      </w:pPr>
    </w:p>
    <w:p w14:paraId="05A04F4E" w14:textId="07662634" w:rsidR="000D1F47" w:rsidRPr="00D132C9" w:rsidRDefault="000D1F47" w:rsidP="000D1F47">
      <w:pPr>
        <w:pStyle w:val="Heading2"/>
      </w:pPr>
      <w:r>
        <w:t>Measuring on CSI-RS</w:t>
      </w:r>
    </w:p>
    <w:p w14:paraId="17AF7A82" w14:textId="77777777" w:rsidR="00B47A3D" w:rsidRDefault="00B47A3D" w:rsidP="00D132C9"/>
    <w:p w14:paraId="5E43396F" w14:textId="3AD03E7C" w:rsidR="00D132C9" w:rsidRDefault="0078020D" w:rsidP="00D132C9">
      <w:r>
        <w:t>RAN2 a</w:t>
      </w:r>
      <w:r w:rsidR="008D5F09">
        <w:t>greement number 2 refers to a carrier which does not have an SSB.</w:t>
      </w:r>
      <w:r w:rsidR="000E0FD3">
        <w:t xml:space="preserve"> A related parameter can be found </w:t>
      </w:r>
      <w:r w:rsidR="000E0FD3" w:rsidRPr="00EB4892">
        <w:t xml:space="preserve">in </w:t>
      </w:r>
      <w:r w:rsidR="00EB4892" w:rsidRPr="00EB4892">
        <w:t xml:space="preserve">the </w:t>
      </w:r>
      <w:r w:rsidR="000E0FD3" w:rsidRPr="00EB4892">
        <w:t>RAN</w:t>
      </w:r>
      <w:r w:rsidR="00EB4892">
        <w:t>1</w:t>
      </w:r>
      <w:r w:rsidR="000E0FD3" w:rsidRPr="00EB4892">
        <w:t xml:space="preserve"> </w:t>
      </w:r>
      <w:r w:rsidR="00EB4892" w:rsidRPr="00EB4892">
        <w:t>RRC parameters</w:t>
      </w:r>
      <w:r w:rsidR="000E0FD3">
        <w:t xml:space="preserve"> </w:t>
      </w:r>
      <w:r w:rsidR="00EB4892">
        <w:fldChar w:fldCharType="begin"/>
      </w:r>
      <w:r w:rsidR="00EB4892">
        <w:instrText xml:space="preserve"> REF _Ref494417431 \r \h </w:instrText>
      </w:r>
      <w:r w:rsidR="00EB4892">
        <w:fldChar w:fldCharType="separate"/>
      </w:r>
      <w:r w:rsidR="00EB4892">
        <w:t>[4]</w:t>
      </w:r>
      <w:r w:rsidR="00EB4892">
        <w:fldChar w:fldCharType="end"/>
      </w:r>
    </w:p>
    <w:tbl>
      <w:tblPr>
        <w:tblW w:w="10632" w:type="dxa"/>
        <w:tblInd w:w="-5" w:type="dxa"/>
        <w:tblCellMar>
          <w:top w:w="15" w:type="dxa"/>
          <w:left w:w="70" w:type="dxa"/>
          <w:bottom w:w="15" w:type="dxa"/>
          <w:right w:w="70" w:type="dxa"/>
        </w:tblCellMar>
        <w:tblLook w:val="04A0" w:firstRow="1" w:lastRow="0" w:firstColumn="1" w:lastColumn="0" w:noHBand="0" w:noVBand="1"/>
      </w:tblPr>
      <w:tblGrid>
        <w:gridCol w:w="1701"/>
        <w:gridCol w:w="1418"/>
        <w:gridCol w:w="1134"/>
        <w:gridCol w:w="1701"/>
        <w:gridCol w:w="4678"/>
      </w:tblGrid>
      <w:tr w:rsidR="00950017" w:rsidRPr="000D05E3" w14:paraId="754855BD" w14:textId="77777777" w:rsidTr="00950017">
        <w:trPr>
          <w:trHeight w:val="225"/>
        </w:trPr>
        <w:tc>
          <w:tcPr>
            <w:tcW w:w="1701" w:type="dxa"/>
            <w:tcBorders>
              <w:top w:val="single" w:sz="4" w:space="0" w:color="auto"/>
              <w:left w:val="single" w:sz="4" w:space="0" w:color="auto"/>
              <w:bottom w:val="single" w:sz="4" w:space="0" w:color="auto"/>
              <w:right w:val="single" w:sz="4" w:space="0" w:color="auto"/>
            </w:tcBorders>
            <w:noWrap/>
            <w:vAlign w:val="center"/>
            <w:hideMark/>
          </w:tcPr>
          <w:p w14:paraId="38E0BC81" w14:textId="77777777" w:rsidR="00950017" w:rsidRPr="000D05E3" w:rsidRDefault="00950017" w:rsidP="000D05E3">
            <w:pPr>
              <w:overflowPunct/>
              <w:autoSpaceDE/>
              <w:autoSpaceDN/>
              <w:adjustRightInd/>
              <w:spacing w:after="0"/>
              <w:jc w:val="center"/>
              <w:textAlignment w:val="auto"/>
              <w:rPr>
                <w:rFonts w:cs="Arial"/>
                <w:sz w:val="16"/>
                <w:szCs w:val="16"/>
                <w:lang w:val="fi-FI" w:eastAsia="fi-FI"/>
              </w:rPr>
            </w:pPr>
            <w:r w:rsidRPr="000D05E3">
              <w:rPr>
                <w:rFonts w:cs="Arial"/>
                <w:sz w:val="16"/>
                <w:szCs w:val="16"/>
                <w:lang w:val="fi-FI" w:eastAsia="fi-FI"/>
              </w:rPr>
              <w:lastRenderedPageBreak/>
              <w:t>Mobility related</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5C0BC384" w14:textId="77777777" w:rsidR="00950017" w:rsidRPr="000D05E3" w:rsidRDefault="00950017" w:rsidP="000D05E3">
            <w:pPr>
              <w:overflowPunct/>
              <w:autoSpaceDE/>
              <w:autoSpaceDN/>
              <w:adjustRightInd/>
              <w:spacing w:after="0"/>
              <w:jc w:val="center"/>
              <w:textAlignment w:val="auto"/>
              <w:rPr>
                <w:rFonts w:cs="Arial"/>
                <w:sz w:val="16"/>
                <w:szCs w:val="16"/>
                <w:lang w:val="fi-FI" w:eastAsia="fi-FI"/>
              </w:rPr>
            </w:pPr>
            <w:r w:rsidRPr="000D05E3">
              <w:rPr>
                <w:rFonts w:cs="Arial"/>
                <w:sz w:val="16"/>
                <w:szCs w:val="16"/>
                <w:lang w:val="fi-FI" w:eastAsia="fi-FI"/>
              </w:rPr>
              <w:t>SSB-presence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5898A3" w14:textId="77777777" w:rsidR="00950017" w:rsidRPr="000D05E3" w:rsidRDefault="00950017" w:rsidP="000D05E3">
            <w:pPr>
              <w:overflowPunct/>
              <w:autoSpaceDE/>
              <w:autoSpaceDN/>
              <w:adjustRightInd/>
              <w:spacing w:after="0"/>
              <w:jc w:val="center"/>
              <w:textAlignment w:val="auto"/>
              <w:rPr>
                <w:rFonts w:cs="Arial"/>
                <w:sz w:val="16"/>
                <w:szCs w:val="16"/>
                <w:lang w:val="fi-FI" w:eastAsia="fi-FI"/>
              </w:rPr>
            </w:pPr>
            <w:r w:rsidRPr="000D05E3">
              <w:rPr>
                <w:rFonts w:cs="Arial"/>
                <w:sz w:val="16"/>
                <w:szCs w:val="16"/>
                <w:lang w:val="fi-FI" w:eastAsia="fi-FI"/>
              </w:rPr>
              <w:t>New</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43E47E74" w14:textId="77777777" w:rsidR="00950017" w:rsidRPr="000D05E3" w:rsidRDefault="00950017" w:rsidP="000D05E3">
            <w:pPr>
              <w:overflowPunct/>
              <w:autoSpaceDE/>
              <w:autoSpaceDN/>
              <w:adjustRightInd/>
              <w:spacing w:after="0"/>
              <w:jc w:val="center"/>
              <w:textAlignment w:val="auto"/>
              <w:rPr>
                <w:rFonts w:cs="Arial"/>
                <w:sz w:val="16"/>
                <w:szCs w:val="16"/>
                <w:lang w:val="fi-FI" w:eastAsia="fi-FI"/>
              </w:rPr>
            </w:pPr>
            <w:r w:rsidRPr="000D05E3">
              <w:rPr>
                <w:rFonts w:cs="Arial"/>
                <w:sz w:val="16"/>
                <w:szCs w:val="16"/>
                <w:lang w:val="fi-FI" w:eastAsia="fi-FI"/>
              </w:rPr>
              <w:t>SSB-presence</w:t>
            </w:r>
          </w:p>
        </w:tc>
        <w:tc>
          <w:tcPr>
            <w:tcW w:w="4678" w:type="dxa"/>
            <w:tcBorders>
              <w:top w:val="single" w:sz="4" w:space="0" w:color="auto"/>
              <w:left w:val="single" w:sz="4" w:space="0" w:color="auto"/>
              <w:bottom w:val="single" w:sz="4" w:space="0" w:color="auto"/>
              <w:right w:val="single" w:sz="4" w:space="0" w:color="auto"/>
            </w:tcBorders>
            <w:noWrap/>
            <w:vAlign w:val="center"/>
            <w:hideMark/>
          </w:tcPr>
          <w:p w14:paraId="2FD40ECB" w14:textId="77777777" w:rsidR="00950017" w:rsidRPr="000D05E3" w:rsidRDefault="00950017" w:rsidP="00950017">
            <w:pPr>
              <w:overflowPunct/>
              <w:autoSpaceDE/>
              <w:autoSpaceDN/>
              <w:adjustRightInd/>
              <w:spacing w:after="0"/>
              <w:ind w:right="-71"/>
              <w:jc w:val="left"/>
              <w:textAlignment w:val="auto"/>
              <w:rPr>
                <w:rFonts w:cs="Arial"/>
                <w:sz w:val="16"/>
                <w:szCs w:val="16"/>
                <w:lang w:val="en-US" w:eastAsia="fi-FI"/>
              </w:rPr>
            </w:pPr>
            <w:r w:rsidRPr="000D05E3">
              <w:rPr>
                <w:rFonts w:cs="Arial"/>
                <w:sz w:val="16"/>
                <w:szCs w:val="16"/>
                <w:lang w:val="en-US" w:eastAsia="fi-FI"/>
              </w:rPr>
              <w:t>Indicate presence of SSBlock on an Scell</w:t>
            </w:r>
          </w:p>
        </w:tc>
      </w:tr>
    </w:tbl>
    <w:p w14:paraId="0B3B66F9" w14:textId="35FB0D8D" w:rsidR="002F047E" w:rsidRPr="000D05E3" w:rsidRDefault="002F047E" w:rsidP="00D132C9">
      <w:pPr>
        <w:rPr>
          <w:lang w:val="en-US"/>
        </w:rPr>
      </w:pPr>
    </w:p>
    <w:p w14:paraId="5785CC10" w14:textId="77777777" w:rsidR="002F047E" w:rsidRDefault="002F047E" w:rsidP="002F047E">
      <w:r>
        <w:t xml:space="preserve">Additionally, in RAN1#AH_NR2 the following agreements were made regarding </w:t>
      </w:r>
      <w:r w:rsidRPr="00597EAA">
        <w:t>CSI-RS properties for RRM measurement for L3 mobility</w:t>
      </w:r>
      <w:r>
        <w:t>:</w:t>
      </w:r>
    </w:p>
    <w:p w14:paraId="42F2792C" w14:textId="77777777" w:rsidR="002F047E" w:rsidRPr="00757F6F" w:rsidRDefault="002F047E" w:rsidP="002F047E">
      <w:pPr>
        <w:rPr>
          <w:rFonts w:ascii="Times New Roman" w:eastAsiaTheme="minorHAnsi" w:hAnsi="Times New Roman"/>
          <w:b/>
          <w:bCs/>
          <w:u w:val="single"/>
          <w:lang w:eastAsia="ja-JP"/>
        </w:rPr>
      </w:pPr>
      <w:r w:rsidRPr="00757F6F">
        <w:rPr>
          <w:rFonts w:ascii="Times New Roman" w:hAnsi="Times New Roman"/>
          <w:b/>
          <w:bCs/>
          <w:highlight w:val="green"/>
          <w:u w:val="single"/>
          <w:lang w:eastAsia="ja-JP"/>
        </w:rPr>
        <w:t>Agreements:</w:t>
      </w:r>
    </w:p>
    <w:p w14:paraId="6B1F7462" w14:textId="77777777" w:rsidR="002F047E" w:rsidRPr="00757F6F" w:rsidRDefault="002F047E" w:rsidP="002F047E">
      <w:pPr>
        <w:numPr>
          <w:ilvl w:val="0"/>
          <w:numId w:val="40"/>
        </w:numPr>
        <w:overflowPunct/>
        <w:autoSpaceDE/>
        <w:autoSpaceDN/>
        <w:adjustRightInd/>
        <w:spacing w:after="0"/>
        <w:jc w:val="left"/>
        <w:textAlignment w:val="auto"/>
        <w:rPr>
          <w:rFonts w:ascii="Times New Roman" w:hAnsi="Times New Roman"/>
          <w:lang w:eastAsia="ja-JP"/>
        </w:rPr>
      </w:pPr>
      <w:r w:rsidRPr="00757F6F">
        <w:rPr>
          <w:rFonts w:ascii="Times New Roman" w:hAnsi="Times New Roman"/>
          <w:lang w:eastAsia="ja-JP"/>
        </w:rPr>
        <w:t>Following CSI-RS properties for RRM measurement for L3 mobility are supported in NR</w:t>
      </w:r>
    </w:p>
    <w:p w14:paraId="30C0C6EB" w14:textId="77777777" w:rsidR="002F047E" w:rsidRPr="00757F6F" w:rsidRDefault="002F047E" w:rsidP="002F047E">
      <w:pPr>
        <w:numPr>
          <w:ilvl w:val="1"/>
          <w:numId w:val="40"/>
        </w:numPr>
        <w:overflowPunct/>
        <w:autoSpaceDE/>
        <w:autoSpaceDN/>
        <w:adjustRightInd/>
        <w:spacing w:after="0"/>
        <w:jc w:val="left"/>
        <w:textAlignment w:val="auto"/>
        <w:rPr>
          <w:rFonts w:ascii="Times New Roman" w:hAnsi="Times New Roman"/>
          <w:lang w:eastAsia="ja-JP"/>
        </w:rPr>
      </w:pPr>
      <w:r w:rsidRPr="00757F6F">
        <w:rPr>
          <w:rFonts w:ascii="Times New Roman" w:hAnsi="Times New Roman"/>
          <w:lang w:eastAsia="ja-JP"/>
        </w:rPr>
        <w:t>Configurable periodicity (as already agreed)</w:t>
      </w:r>
    </w:p>
    <w:p w14:paraId="6E9BEDD3" w14:textId="77777777" w:rsidR="002F047E" w:rsidRPr="00757F6F" w:rsidRDefault="002F047E" w:rsidP="002F047E">
      <w:pPr>
        <w:numPr>
          <w:ilvl w:val="2"/>
          <w:numId w:val="40"/>
        </w:numPr>
        <w:overflowPunct/>
        <w:autoSpaceDE/>
        <w:autoSpaceDN/>
        <w:adjustRightInd/>
        <w:spacing w:after="0"/>
        <w:jc w:val="left"/>
        <w:textAlignment w:val="auto"/>
        <w:rPr>
          <w:rFonts w:ascii="Times New Roman" w:hAnsi="Times New Roman"/>
          <w:lang w:eastAsia="ja-JP"/>
        </w:rPr>
      </w:pPr>
      <w:r w:rsidRPr="00757F6F">
        <w:rPr>
          <w:rFonts w:ascii="Times New Roman" w:hAnsi="Times New Roman"/>
          <w:lang w:eastAsia="ja-JP"/>
        </w:rPr>
        <w:t>{5, 10, 20, 40, [80, 160]} ms are supported</w:t>
      </w:r>
    </w:p>
    <w:p w14:paraId="6EFFAA4A" w14:textId="77777777" w:rsidR="002F047E" w:rsidRPr="00757F6F" w:rsidRDefault="002F047E" w:rsidP="002F047E">
      <w:pPr>
        <w:numPr>
          <w:ilvl w:val="2"/>
          <w:numId w:val="40"/>
        </w:numPr>
        <w:overflowPunct/>
        <w:autoSpaceDE/>
        <w:autoSpaceDN/>
        <w:adjustRightInd/>
        <w:spacing w:after="0"/>
        <w:jc w:val="left"/>
        <w:textAlignment w:val="auto"/>
        <w:rPr>
          <w:rFonts w:ascii="Times New Roman" w:hAnsi="Times New Roman"/>
          <w:lang w:eastAsia="ja-JP"/>
        </w:rPr>
      </w:pPr>
      <w:r w:rsidRPr="00757F6F">
        <w:rPr>
          <w:rFonts w:ascii="Times New Roman" w:hAnsi="Times New Roman"/>
          <w:lang w:eastAsia="ja-JP"/>
        </w:rPr>
        <w:t>This does not mean periodicity will be configured per CSI-RS resource</w:t>
      </w:r>
    </w:p>
    <w:p w14:paraId="6134D5C9" w14:textId="77777777" w:rsidR="002F047E" w:rsidRPr="00757F6F" w:rsidRDefault="002F047E" w:rsidP="002F047E">
      <w:pPr>
        <w:numPr>
          <w:ilvl w:val="1"/>
          <w:numId w:val="40"/>
        </w:numPr>
        <w:overflowPunct/>
        <w:autoSpaceDE/>
        <w:autoSpaceDN/>
        <w:adjustRightInd/>
        <w:spacing w:after="0"/>
        <w:jc w:val="left"/>
        <w:textAlignment w:val="auto"/>
        <w:rPr>
          <w:rFonts w:ascii="Times New Roman" w:hAnsi="Times New Roman"/>
          <w:lang w:eastAsia="ja-JP"/>
        </w:rPr>
      </w:pPr>
      <w:r w:rsidRPr="00757F6F">
        <w:rPr>
          <w:rFonts w:ascii="Times New Roman" w:hAnsi="Times New Roman"/>
          <w:lang w:eastAsia="ja-JP"/>
        </w:rPr>
        <w:t>Configurable transmission bandwidth (as already agreed)</w:t>
      </w:r>
    </w:p>
    <w:p w14:paraId="42FA786E" w14:textId="77777777" w:rsidR="002F047E" w:rsidRPr="00757F6F" w:rsidRDefault="002F047E" w:rsidP="002F047E">
      <w:pPr>
        <w:numPr>
          <w:ilvl w:val="2"/>
          <w:numId w:val="40"/>
        </w:numPr>
        <w:overflowPunct/>
        <w:autoSpaceDE/>
        <w:autoSpaceDN/>
        <w:adjustRightInd/>
        <w:spacing w:after="0"/>
        <w:jc w:val="left"/>
        <w:textAlignment w:val="auto"/>
        <w:rPr>
          <w:rFonts w:ascii="Times New Roman" w:hAnsi="Times New Roman"/>
          <w:lang w:eastAsia="ja-JP"/>
        </w:rPr>
      </w:pPr>
      <w:r w:rsidRPr="00757F6F">
        <w:rPr>
          <w:rFonts w:ascii="Times New Roman" w:hAnsi="Times New Roman"/>
          <w:lang w:eastAsia="ja-JP"/>
        </w:rPr>
        <w:t>FFS candidate values</w:t>
      </w:r>
    </w:p>
    <w:p w14:paraId="1DEAE9D5" w14:textId="77777777" w:rsidR="002F047E" w:rsidRPr="00757F6F" w:rsidRDefault="002F047E" w:rsidP="002F047E">
      <w:pPr>
        <w:numPr>
          <w:ilvl w:val="1"/>
          <w:numId w:val="40"/>
        </w:numPr>
        <w:overflowPunct/>
        <w:autoSpaceDE/>
        <w:autoSpaceDN/>
        <w:adjustRightInd/>
        <w:spacing w:after="0"/>
        <w:jc w:val="left"/>
        <w:textAlignment w:val="auto"/>
        <w:rPr>
          <w:rFonts w:ascii="Times New Roman" w:hAnsi="Times New Roman"/>
          <w:highlight w:val="yellow"/>
          <w:lang w:eastAsia="ja-JP"/>
        </w:rPr>
      </w:pPr>
      <w:r w:rsidRPr="00757F6F">
        <w:rPr>
          <w:rFonts w:ascii="Times New Roman" w:hAnsi="Times New Roman"/>
          <w:highlight w:val="yellow"/>
          <w:lang w:eastAsia="ja-JP"/>
        </w:rPr>
        <w:t>Configurable measurement bandwidth (as already agreed) and frequency location</w:t>
      </w:r>
    </w:p>
    <w:p w14:paraId="581949FF" w14:textId="77777777" w:rsidR="002F047E" w:rsidRPr="00757F6F" w:rsidRDefault="002F047E" w:rsidP="002F047E">
      <w:pPr>
        <w:numPr>
          <w:ilvl w:val="2"/>
          <w:numId w:val="40"/>
        </w:numPr>
        <w:overflowPunct/>
        <w:autoSpaceDE/>
        <w:autoSpaceDN/>
        <w:adjustRightInd/>
        <w:spacing w:after="0"/>
        <w:jc w:val="left"/>
        <w:textAlignment w:val="auto"/>
        <w:rPr>
          <w:rFonts w:ascii="Times New Roman" w:hAnsi="Times New Roman"/>
          <w:highlight w:val="yellow"/>
          <w:lang w:eastAsia="ja-JP"/>
        </w:rPr>
      </w:pPr>
      <w:r w:rsidRPr="00757F6F">
        <w:rPr>
          <w:rFonts w:ascii="Times New Roman" w:hAnsi="Times New Roman"/>
          <w:highlight w:val="yellow"/>
          <w:lang w:eastAsia="ja-JP"/>
        </w:rPr>
        <w:t>At least minimum carrier bandwidth for each frequency band/range and at least one additional wider bandwidth for each SCS (e.g., maximum UE bandwidth) are supported</w:t>
      </w:r>
    </w:p>
    <w:p w14:paraId="5D38AFA0" w14:textId="77777777" w:rsidR="002F047E" w:rsidRPr="00757F6F" w:rsidRDefault="002F047E" w:rsidP="002F047E">
      <w:pPr>
        <w:numPr>
          <w:ilvl w:val="3"/>
          <w:numId w:val="40"/>
        </w:numPr>
        <w:overflowPunct/>
        <w:autoSpaceDE/>
        <w:autoSpaceDN/>
        <w:adjustRightInd/>
        <w:spacing w:after="0"/>
        <w:jc w:val="left"/>
        <w:textAlignment w:val="auto"/>
        <w:rPr>
          <w:rFonts w:ascii="Times New Roman" w:hAnsi="Times New Roman"/>
          <w:highlight w:val="yellow"/>
          <w:lang w:eastAsia="ja-JP"/>
        </w:rPr>
      </w:pPr>
      <w:r w:rsidRPr="00757F6F">
        <w:rPr>
          <w:rFonts w:ascii="Times New Roman" w:hAnsi="Times New Roman"/>
          <w:highlight w:val="yellow"/>
          <w:lang w:eastAsia="ja-JP"/>
        </w:rPr>
        <w:t>FFS other candidate values for wider bandwidth for each SCS</w:t>
      </w:r>
    </w:p>
    <w:p w14:paraId="62B66DDB" w14:textId="77777777" w:rsidR="002F047E" w:rsidRPr="00757F6F" w:rsidRDefault="002F047E" w:rsidP="002F047E">
      <w:pPr>
        <w:numPr>
          <w:ilvl w:val="2"/>
          <w:numId w:val="40"/>
        </w:numPr>
        <w:overflowPunct/>
        <w:autoSpaceDE/>
        <w:autoSpaceDN/>
        <w:adjustRightInd/>
        <w:spacing w:after="0"/>
        <w:jc w:val="left"/>
        <w:textAlignment w:val="auto"/>
        <w:rPr>
          <w:rFonts w:ascii="Times New Roman" w:hAnsi="Times New Roman"/>
          <w:highlight w:val="yellow"/>
          <w:lang w:eastAsia="ja-JP"/>
        </w:rPr>
      </w:pPr>
      <w:r w:rsidRPr="00757F6F">
        <w:rPr>
          <w:rFonts w:ascii="Times New Roman" w:hAnsi="Times New Roman"/>
          <w:highlight w:val="yellow"/>
          <w:lang w:eastAsia="ja-JP"/>
        </w:rPr>
        <w:t>Measurement of CSI-RS in subband/bandwidth part which may or may not contain SS Blocks is supported</w:t>
      </w:r>
    </w:p>
    <w:p w14:paraId="7B43988A" w14:textId="4A6B3301" w:rsidR="002F047E" w:rsidRDefault="002F047E" w:rsidP="00D132C9"/>
    <w:p w14:paraId="0D907DFD" w14:textId="474778AE" w:rsidR="00EA3F20" w:rsidRDefault="00EA3F20" w:rsidP="00D132C9">
      <w:r>
        <w:t>In RAN2, we have the following FFS related to measurements based on CSI-RS for a BWP:</w:t>
      </w:r>
    </w:p>
    <w:bookmarkEnd w:id="1"/>
    <w:p w14:paraId="75EC0112" w14:textId="77777777" w:rsidR="009D7877" w:rsidRDefault="009D7877" w:rsidP="009D7877">
      <w:pPr>
        <w:pStyle w:val="Doc-text2"/>
        <w:pBdr>
          <w:top w:val="single" w:sz="4" w:space="1" w:color="auto"/>
          <w:left w:val="single" w:sz="4" w:space="4" w:color="auto"/>
          <w:bottom w:val="single" w:sz="4" w:space="1" w:color="auto"/>
          <w:right w:val="single" w:sz="4" w:space="4" w:color="auto"/>
        </w:pBdr>
      </w:pPr>
      <w:r>
        <w:t>FFS Where the UE acquires timing reference for making measurements in this carrier. E.g. can UE assume timing reference from one of its serving carriers (for CA case), or does the MO include a pointer to another carrier with SSB for obtaining timing reference.</w:t>
      </w:r>
    </w:p>
    <w:p w14:paraId="04EE6E22" w14:textId="7743444E" w:rsidR="009D7877" w:rsidRDefault="009D7877" w:rsidP="00337160"/>
    <w:p w14:paraId="6AA055A0" w14:textId="58985B2F" w:rsidR="00EA3F20" w:rsidRDefault="00EB4892" w:rsidP="00337160">
      <w:r>
        <w:t xml:space="preserve">It is clear that UE cannot have PCell that does not have SSB which is also reflected in </w:t>
      </w:r>
      <w:r>
        <w:t>the RAN1 R</w:t>
      </w:r>
      <w:r w:rsidR="00774743">
        <w:t>RC parameter and related agreements</w:t>
      </w:r>
      <w:r>
        <w:t xml:space="preserve">. </w:t>
      </w:r>
      <w:r w:rsidR="00774743">
        <w:t>Thus, UE could assume</w:t>
      </w:r>
      <w:r w:rsidR="005E3C1B">
        <w:t xml:space="preserve"> PC</w:t>
      </w:r>
      <w:r w:rsidR="00774743">
        <w:t xml:space="preserve">ell SSB as the timing reference as the SSB less carrier would always be a subband/BWP/SCell. If RAN2 does not indentify  </w:t>
      </w:r>
      <w:r w:rsidR="005E3C1B">
        <w:t xml:space="preserve"> </w:t>
      </w:r>
    </w:p>
    <w:p w14:paraId="123A059C" w14:textId="77777777" w:rsidR="005E3C1B" w:rsidRPr="0089611D" w:rsidRDefault="005E3C1B" w:rsidP="005E3C1B"/>
    <w:p w14:paraId="4A62F926" w14:textId="0415ED6D" w:rsidR="005E3C1B" w:rsidRPr="005E3C1B" w:rsidRDefault="00774743" w:rsidP="00774743">
      <w:pPr>
        <w:pStyle w:val="Proposal"/>
        <w:rPr>
          <w:lang w:val="en-US"/>
        </w:rPr>
      </w:pPr>
      <w:bookmarkStart w:id="10" w:name="_Toc493785589"/>
      <w:bookmarkStart w:id="11" w:name="_Toc494417900"/>
      <w:r>
        <w:rPr>
          <w:lang w:val="en-US"/>
        </w:rPr>
        <w:t>If a</w:t>
      </w:r>
      <w:r w:rsidR="005E3C1B">
        <w:rPr>
          <w:lang w:val="en-US"/>
        </w:rPr>
        <w:t xml:space="preserve"> MO </w:t>
      </w:r>
      <w:r>
        <w:rPr>
          <w:lang w:val="en-US"/>
        </w:rPr>
        <w:t>configures UE to measure from CSI-RS but SSBPresence parameter indicates SSB is not present, UE assumes PCell SSB as sync reference.</w:t>
      </w:r>
      <w:bookmarkEnd w:id="10"/>
      <w:bookmarkEnd w:id="11"/>
      <w:r w:rsidRPr="005E3C1B">
        <w:rPr>
          <w:lang w:val="en-US"/>
        </w:rPr>
        <w:t xml:space="preserve"> </w:t>
      </w:r>
    </w:p>
    <w:bookmarkEnd w:id="2"/>
    <w:p w14:paraId="6DAAF8C8" w14:textId="77777777" w:rsidR="00C01F33" w:rsidRPr="00E56923" w:rsidRDefault="00C01F33" w:rsidP="00CE0424">
      <w:pPr>
        <w:pStyle w:val="Heading1"/>
      </w:pPr>
      <w:r w:rsidRPr="00E56923">
        <w:t>Conclusion</w:t>
      </w:r>
    </w:p>
    <w:p w14:paraId="635E720C" w14:textId="77777777" w:rsidR="00774743" w:rsidRDefault="0089611D" w:rsidP="0089611D">
      <w:pPr>
        <w:pStyle w:val="BodyText"/>
        <w:rPr>
          <w:noProof/>
        </w:rPr>
      </w:pPr>
      <w:bookmarkStart w:id="12" w:name="_In-sequence_SDU_delivery"/>
      <w:bookmarkEnd w:id="12"/>
      <w:r>
        <w:t>In this contribution, we made the following proposals</w:t>
      </w:r>
      <w:r w:rsidRPr="00CE0424">
        <w:t>:</w:t>
      </w:r>
      <w:r>
        <w:rPr>
          <w:b/>
          <w:bCs/>
        </w:rPr>
        <w:fldChar w:fldCharType="begin"/>
      </w:r>
      <w:r>
        <w:rPr>
          <w:b/>
          <w:bCs/>
        </w:rPr>
        <w:instrText xml:space="preserve"> TOC \f \n \p " " \t "Proposal;1" </w:instrText>
      </w:r>
      <w:r>
        <w:rPr>
          <w:b/>
          <w:bCs/>
        </w:rPr>
        <w:fldChar w:fldCharType="separate"/>
      </w:r>
    </w:p>
    <w:p w14:paraId="394A24E1" w14:textId="77777777" w:rsidR="00774743" w:rsidRPr="00774743" w:rsidRDefault="00774743">
      <w:pPr>
        <w:pStyle w:val="TOC1"/>
        <w:rPr>
          <w:rFonts w:asciiTheme="minorHAnsi" w:eastAsiaTheme="minorEastAsia" w:hAnsiTheme="minorHAnsi" w:cstheme="minorBidi"/>
          <w:b w:val="0"/>
          <w:sz w:val="22"/>
          <w:lang w:eastAsia="fi-FI"/>
        </w:rPr>
      </w:pPr>
      <w:r w:rsidRPr="00647D1E">
        <w:t>Proposal 1</w:t>
      </w:r>
      <w:r w:rsidRPr="00774743">
        <w:rPr>
          <w:rFonts w:asciiTheme="minorHAnsi" w:eastAsiaTheme="minorEastAsia" w:hAnsiTheme="minorHAnsi" w:cstheme="minorBidi"/>
          <w:b w:val="0"/>
          <w:sz w:val="22"/>
          <w:lang w:eastAsia="fi-FI"/>
        </w:rPr>
        <w:tab/>
      </w:r>
      <w:r w:rsidRPr="00647D1E">
        <w:t>A MO can only point to single SSB frequency location.</w:t>
      </w:r>
    </w:p>
    <w:p w14:paraId="6C75A281" w14:textId="77777777" w:rsidR="00774743" w:rsidRPr="00774743" w:rsidRDefault="00774743">
      <w:pPr>
        <w:pStyle w:val="TOC1"/>
        <w:rPr>
          <w:rFonts w:asciiTheme="minorHAnsi" w:eastAsiaTheme="minorEastAsia" w:hAnsiTheme="minorHAnsi" w:cstheme="minorBidi"/>
          <w:b w:val="0"/>
          <w:sz w:val="22"/>
          <w:lang w:eastAsia="fi-FI"/>
        </w:rPr>
      </w:pPr>
      <w:r w:rsidRPr="00647D1E">
        <w:t>Proposal 2</w:t>
      </w:r>
      <w:r w:rsidRPr="00774743">
        <w:rPr>
          <w:rFonts w:asciiTheme="minorHAnsi" w:eastAsiaTheme="minorEastAsia" w:hAnsiTheme="minorHAnsi" w:cstheme="minorBidi"/>
          <w:b w:val="0"/>
          <w:sz w:val="22"/>
          <w:lang w:eastAsia="fi-FI"/>
        </w:rPr>
        <w:tab/>
      </w:r>
      <w:r w:rsidRPr="00647D1E">
        <w:rPr>
          <w:rFonts w:cs="Arial"/>
        </w:rPr>
        <w:t>Network may configure UE with multiple MOs for the same carrier if the SSB frequency location is different</w:t>
      </w:r>
      <w:r w:rsidRPr="00647D1E">
        <w:t>.</w:t>
      </w:r>
    </w:p>
    <w:p w14:paraId="77E815BD" w14:textId="77777777" w:rsidR="00774743" w:rsidRPr="00774743" w:rsidRDefault="00774743">
      <w:pPr>
        <w:pStyle w:val="TOC1"/>
        <w:rPr>
          <w:rFonts w:asciiTheme="minorHAnsi" w:eastAsiaTheme="minorEastAsia" w:hAnsiTheme="minorHAnsi" w:cstheme="minorBidi"/>
          <w:b w:val="0"/>
          <w:sz w:val="22"/>
          <w:lang w:eastAsia="fi-FI"/>
        </w:rPr>
      </w:pPr>
      <w:r w:rsidRPr="00647D1E">
        <w:t>Proposal 3</w:t>
      </w:r>
      <w:r w:rsidRPr="00774743">
        <w:rPr>
          <w:rFonts w:asciiTheme="minorHAnsi" w:eastAsiaTheme="minorEastAsia" w:hAnsiTheme="minorHAnsi" w:cstheme="minorBidi"/>
          <w:b w:val="0"/>
          <w:sz w:val="22"/>
          <w:lang w:eastAsia="fi-FI"/>
        </w:rPr>
        <w:tab/>
      </w:r>
      <w:r w:rsidRPr="00647D1E">
        <w:t>If a MO configures UE to measure from CSI-RS but SSBPresence parameter indicates SSB is not present, UE assumes PCell SSB as sync reference.</w:t>
      </w:r>
    </w:p>
    <w:p w14:paraId="03D00CA3" w14:textId="2D43B25D" w:rsidR="0089611D" w:rsidRPr="0089611D" w:rsidRDefault="0089611D" w:rsidP="0089611D">
      <w:pPr>
        <w:pStyle w:val="Reference"/>
        <w:numPr>
          <w:ilvl w:val="0"/>
          <w:numId w:val="0"/>
        </w:numPr>
        <w:ind w:left="567" w:hanging="567"/>
        <w:rPr>
          <w:rFonts w:cs="Arial"/>
          <w:lang w:val="en-US" w:eastAsia="en-US"/>
        </w:rPr>
      </w:pPr>
      <w:r>
        <w:rPr>
          <w:b/>
          <w:bCs/>
        </w:rPr>
        <w:fldChar w:fldCharType="end"/>
      </w:r>
      <w:bookmarkStart w:id="13" w:name="_GoBack"/>
      <w:bookmarkEnd w:id="13"/>
    </w:p>
    <w:p w14:paraId="4F3D1ECA" w14:textId="12B4B931" w:rsidR="00F507D1" w:rsidRPr="00E56923" w:rsidRDefault="0089611D" w:rsidP="0089611D">
      <w:pPr>
        <w:pStyle w:val="Heading1"/>
      </w:pPr>
      <w:r w:rsidRPr="00E56923">
        <w:t xml:space="preserve"> </w:t>
      </w:r>
      <w:r w:rsidR="00F507D1" w:rsidRPr="00E56923">
        <w:t>References</w:t>
      </w:r>
    </w:p>
    <w:p w14:paraId="6EC1F313" w14:textId="65C3827F" w:rsidR="00410603" w:rsidRPr="00EB4892" w:rsidRDefault="00B72F59" w:rsidP="00F15A2A">
      <w:pPr>
        <w:pStyle w:val="Reference"/>
        <w:rPr>
          <w:rFonts w:asciiTheme="minorHAnsi" w:hAnsiTheme="minorHAnsi"/>
          <w:lang w:val="en-US" w:eastAsia="en-US"/>
        </w:rPr>
      </w:pPr>
      <w:bookmarkStart w:id="14" w:name="_Ref481592396"/>
      <w:bookmarkStart w:id="15" w:name="_Ref485395783"/>
      <w:bookmarkStart w:id="16" w:name="_Ref493776116"/>
      <w:r w:rsidRPr="00EB4892">
        <w:t>R1</w:t>
      </w:r>
      <w:r w:rsidR="00080DCB" w:rsidRPr="00EB4892">
        <w:t>-1716907</w:t>
      </w:r>
      <w:r w:rsidR="00F15A2A" w:rsidRPr="00EB4892">
        <w:t xml:space="preserve">, </w:t>
      </w:r>
      <w:r w:rsidR="00080DCB" w:rsidRPr="00EB4892">
        <w:rPr>
          <w:rFonts w:cs="Arial"/>
        </w:rPr>
        <w:t xml:space="preserve">Reply </w:t>
      </w:r>
      <w:r w:rsidR="00080DCB" w:rsidRPr="00EB4892">
        <w:rPr>
          <w:rFonts w:cs="Arial"/>
          <w:bCs/>
        </w:rPr>
        <w:t>LS on multiple SSBs within a wideband carrier</w:t>
      </w:r>
      <w:r w:rsidR="00410603" w:rsidRPr="00EB4892">
        <w:t xml:space="preserve">, </w:t>
      </w:r>
      <w:bookmarkEnd w:id="14"/>
      <w:bookmarkEnd w:id="15"/>
      <w:r w:rsidRPr="00EB4892">
        <w:t>RAN1, RAN2#99bis, Prague, Cz, October 2017</w:t>
      </w:r>
      <w:bookmarkEnd w:id="16"/>
    </w:p>
    <w:p w14:paraId="75CB863C" w14:textId="77777777" w:rsidR="006835E3" w:rsidRPr="00500C2E" w:rsidRDefault="00500C2E" w:rsidP="006835E3">
      <w:pPr>
        <w:pStyle w:val="Reference"/>
        <w:rPr>
          <w:rFonts w:asciiTheme="minorHAnsi" w:hAnsiTheme="minorHAnsi"/>
          <w:lang w:val="en-US" w:eastAsia="en-US"/>
        </w:rPr>
      </w:pPr>
      <w:bookmarkStart w:id="17" w:name="_Ref493779117"/>
      <w:r w:rsidRPr="00EB4892">
        <w:t xml:space="preserve">R4-1709108, </w:t>
      </w:r>
      <w:r w:rsidRPr="00EB4892">
        <w:rPr>
          <w:rFonts w:cs="Arial"/>
        </w:rPr>
        <w:t>LS</w:t>
      </w:r>
      <w:r w:rsidRPr="00561708">
        <w:rPr>
          <w:rFonts w:cs="Arial"/>
        </w:rPr>
        <w:t xml:space="preserve"> on Definitions of Intra-frequency and Inter-frequency Measurements</w:t>
      </w:r>
      <w:r>
        <w:rPr>
          <w:rFonts w:cs="Arial"/>
        </w:rPr>
        <w:t xml:space="preserve">, </w:t>
      </w:r>
      <w:r w:rsidR="006835E3">
        <w:rPr>
          <w:rFonts w:cs="Arial"/>
        </w:rPr>
        <w:t xml:space="preserve">RAN4, </w:t>
      </w:r>
      <w:r w:rsidR="006835E3">
        <w:t>Prague, Cz, October 2017</w:t>
      </w:r>
      <w:bookmarkEnd w:id="17"/>
    </w:p>
    <w:p w14:paraId="18722FC2" w14:textId="5D4AD478" w:rsidR="00500C2E" w:rsidRPr="00EB4892" w:rsidRDefault="00EB4892" w:rsidP="00EB4892">
      <w:pPr>
        <w:pStyle w:val="Reference"/>
        <w:rPr>
          <w:rFonts w:asciiTheme="minorHAnsi" w:hAnsiTheme="minorHAnsi"/>
          <w:lang w:val="en-US" w:eastAsia="en-US"/>
        </w:rPr>
      </w:pPr>
      <w:bookmarkStart w:id="18" w:name="_Ref494417201"/>
      <w:r w:rsidRPr="00EB4892">
        <w:t xml:space="preserve">R4-1709890, </w:t>
      </w:r>
      <w:r w:rsidRPr="0035066D">
        <w:t>LS on scenarios of multiple SSB</w:t>
      </w:r>
      <w:r>
        <w:t>, RAN4, Nagoya, Japan,</w:t>
      </w:r>
      <w:r w:rsidRPr="00EB4892">
        <w:t xml:space="preserve"> September, 2017</w:t>
      </w:r>
      <w:bookmarkEnd w:id="18"/>
    </w:p>
    <w:p w14:paraId="1AC5F456" w14:textId="2727F754" w:rsidR="00EB4892" w:rsidRPr="00EB4892" w:rsidRDefault="00EB4892" w:rsidP="00EB4892">
      <w:pPr>
        <w:pStyle w:val="Reference"/>
      </w:pPr>
      <w:bookmarkStart w:id="19" w:name="_Ref494417431"/>
      <w:r w:rsidRPr="00EB4892">
        <w:t>R1-1714819, RRC parameters, RAN1</w:t>
      </w:r>
      <w:bookmarkEnd w:id="19"/>
    </w:p>
    <w:sectPr w:rsidR="00EB4892" w:rsidRPr="00EB4892">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EEF9A3" w14:textId="77777777" w:rsidR="00B17572" w:rsidRDefault="00B17572">
      <w:r>
        <w:separator/>
      </w:r>
    </w:p>
  </w:endnote>
  <w:endnote w:type="continuationSeparator" w:id="0">
    <w:p w14:paraId="7649BA60" w14:textId="77777777" w:rsidR="00B17572" w:rsidRDefault="00B17572">
      <w:r>
        <w:continuationSeparator/>
      </w:r>
    </w:p>
  </w:endnote>
  <w:endnote w:type="continuationNotice" w:id="1">
    <w:p w14:paraId="18E41246" w14:textId="77777777" w:rsidR="00B17572" w:rsidRDefault="00B175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5D61EF" w14:textId="77DC1E8A" w:rsidR="004E0F74" w:rsidRDefault="004E0F7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74743">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74743">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082FDC" w14:textId="77777777" w:rsidR="00B17572" w:rsidRDefault="00B17572">
      <w:r>
        <w:separator/>
      </w:r>
    </w:p>
  </w:footnote>
  <w:footnote w:type="continuationSeparator" w:id="0">
    <w:p w14:paraId="5F502C55" w14:textId="77777777" w:rsidR="00B17572" w:rsidRDefault="00B17572">
      <w:r>
        <w:continuationSeparator/>
      </w:r>
    </w:p>
  </w:footnote>
  <w:footnote w:type="continuationNotice" w:id="1">
    <w:p w14:paraId="1BF259D3" w14:textId="77777777" w:rsidR="00B17572" w:rsidRDefault="00B175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D4BB3E" w14:textId="77777777" w:rsidR="004E0F74" w:rsidRDefault="004E0F7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1CF21EE"/>
    <w:multiLevelType w:val="hybridMultilevel"/>
    <w:tmpl w:val="A96E4C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BB960DB"/>
    <w:multiLevelType w:val="hybridMultilevel"/>
    <w:tmpl w:val="0324DBA0"/>
    <w:lvl w:ilvl="0" w:tplc="46520E02">
      <w:start w:val="1"/>
      <w:numFmt w:val="bullet"/>
      <w:lvlText w:val="•"/>
      <w:lvlJc w:val="left"/>
      <w:pPr>
        <w:tabs>
          <w:tab w:val="num" w:pos="720"/>
        </w:tabs>
        <w:ind w:left="720" w:hanging="360"/>
      </w:pPr>
      <w:rPr>
        <w:rFonts w:ascii="Arial" w:hAnsi="Arial" w:hint="default"/>
      </w:rPr>
    </w:lvl>
    <w:lvl w:ilvl="1" w:tplc="DDD256D4">
      <w:start w:val="2048"/>
      <w:numFmt w:val="bullet"/>
      <w:lvlText w:val="–"/>
      <w:lvlJc w:val="left"/>
      <w:pPr>
        <w:tabs>
          <w:tab w:val="num" w:pos="1440"/>
        </w:tabs>
        <w:ind w:left="1440" w:hanging="360"/>
      </w:pPr>
      <w:rPr>
        <w:rFonts w:ascii="Arial" w:hAnsi="Arial" w:hint="default"/>
      </w:rPr>
    </w:lvl>
    <w:lvl w:ilvl="2" w:tplc="65529936" w:tentative="1">
      <w:start w:val="1"/>
      <w:numFmt w:val="bullet"/>
      <w:lvlText w:val="•"/>
      <w:lvlJc w:val="left"/>
      <w:pPr>
        <w:tabs>
          <w:tab w:val="num" w:pos="2160"/>
        </w:tabs>
        <w:ind w:left="2160" w:hanging="360"/>
      </w:pPr>
      <w:rPr>
        <w:rFonts w:ascii="Arial" w:hAnsi="Arial" w:hint="default"/>
      </w:rPr>
    </w:lvl>
    <w:lvl w:ilvl="3" w:tplc="5C468254" w:tentative="1">
      <w:start w:val="1"/>
      <w:numFmt w:val="bullet"/>
      <w:lvlText w:val="•"/>
      <w:lvlJc w:val="left"/>
      <w:pPr>
        <w:tabs>
          <w:tab w:val="num" w:pos="2880"/>
        </w:tabs>
        <w:ind w:left="2880" w:hanging="360"/>
      </w:pPr>
      <w:rPr>
        <w:rFonts w:ascii="Arial" w:hAnsi="Arial" w:hint="default"/>
      </w:rPr>
    </w:lvl>
    <w:lvl w:ilvl="4" w:tplc="706C48CE" w:tentative="1">
      <w:start w:val="1"/>
      <w:numFmt w:val="bullet"/>
      <w:lvlText w:val="•"/>
      <w:lvlJc w:val="left"/>
      <w:pPr>
        <w:tabs>
          <w:tab w:val="num" w:pos="3600"/>
        </w:tabs>
        <w:ind w:left="3600" w:hanging="360"/>
      </w:pPr>
      <w:rPr>
        <w:rFonts w:ascii="Arial" w:hAnsi="Arial" w:hint="default"/>
      </w:rPr>
    </w:lvl>
    <w:lvl w:ilvl="5" w:tplc="7A58DE5E" w:tentative="1">
      <w:start w:val="1"/>
      <w:numFmt w:val="bullet"/>
      <w:lvlText w:val="•"/>
      <w:lvlJc w:val="left"/>
      <w:pPr>
        <w:tabs>
          <w:tab w:val="num" w:pos="4320"/>
        </w:tabs>
        <w:ind w:left="4320" w:hanging="360"/>
      </w:pPr>
      <w:rPr>
        <w:rFonts w:ascii="Arial" w:hAnsi="Arial" w:hint="default"/>
      </w:rPr>
    </w:lvl>
    <w:lvl w:ilvl="6" w:tplc="72FC9E2A" w:tentative="1">
      <w:start w:val="1"/>
      <w:numFmt w:val="bullet"/>
      <w:lvlText w:val="•"/>
      <w:lvlJc w:val="left"/>
      <w:pPr>
        <w:tabs>
          <w:tab w:val="num" w:pos="5040"/>
        </w:tabs>
        <w:ind w:left="5040" w:hanging="360"/>
      </w:pPr>
      <w:rPr>
        <w:rFonts w:ascii="Arial" w:hAnsi="Arial" w:hint="default"/>
      </w:rPr>
    </w:lvl>
    <w:lvl w:ilvl="7" w:tplc="4E9C4006" w:tentative="1">
      <w:start w:val="1"/>
      <w:numFmt w:val="bullet"/>
      <w:lvlText w:val="•"/>
      <w:lvlJc w:val="left"/>
      <w:pPr>
        <w:tabs>
          <w:tab w:val="num" w:pos="5760"/>
        </w:tabs>
        <w:ind w:left="5760" w:hanging="360"/>
      </w:pPr>
      <w:rPr>
        <w:rFonts w:ascii="Arial" w:hAnsi="Arial" w:hint="default"/>
      </w:rPr>
    </w:lvl>
    <w:lvl w:ilvl="8" w:tplc="B182371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E5805E2"/>
    <w:multiLevelType w:val="hybridMultilevel"/>
    <w:tmpl w:val="97D414B2"/>
    <w:lvl w:ilvl="0" w:tplc="6C488ED8">
      <w:start w:val="1"/>
      <w:numFmt w:val="bullet"/>
      <w:lvlText w:val="•"/>
      <w:lvlJc w:val="left"/>
      <w:pPr>
        <w:tabs>
          <w:tab w:val="num" w:pos="720"/>
        </w:tabs>
        <w:ind w:left="720" w:hanging="360"/>
      </w:pPr>
      <w:rPr>
        <w:rFonts w:ascii="Arial" w:hAnsi="Arial" w:hint="default"/>
      </w:rPr>
    </w:lvl>
    <w:lvl w:ilvl="1" w:tplc="62165EA4">
      <w:start w:val="391"/>
      <w:numFmt w:val="bullet"/>
      <w:lvlText w:val="–"/>
      <w:lvlJc w:val="left"/>
      <w:pPr>
        <w:tabs>
          <w:tab w:val="num" w:pos="1440"/>
        </w:tabs>
        <w:ind w:left="1440" w:hanging="360"/>
      </w:pPr>
      <w:rPr>
        <w:rFonts w:ascii="Arial" w:hAnsi="Arial" w:hint="default"/>
      </w:rPr>
    </w:lvl>
    <w:lvl w:ilvl="2" w:tplc="2E70FB96" w:tentative="1">
      <w:start w:val="1"/>
      <w:numFmt w:val="bullet"/>
      <w:lvlText w:val="•"/>
      <w:lvlJc w:val="left"/>
      <w:pPr>
        <w:tabs>
          <w:tab w:val="num" w:pos="2160"/>
        </w:tabs>
        <w:ind w:left="2160" w:hanging="360"/>
      </w:pPr>
      <w:rPr>
        <w:rFonts w:ascii="Arial" w:hAnsi="Arial" w:hint="default"/>
      </w:rPr>
    </w:lvl>
    <w:lvl w:ilvl="3" w:tplc="50BCA048" w:tentative="1">
      <w:start w:val="1"/>
      <w:numFmt w:val="bullet"/>
      <w:lvlText w:val="•"/>
      <w:lvlJc w:val="left"/>
      <w:pPr>
        <w:tabs>
          <w:tab w:val="num" w:pos="2880"/>
        </w:tabs>
        <w:ind w:left="2880" w:hanging="360"/>
      </w:pPr>
      <w:rPr>
        <w:rFonts w:ascii="Arial" w:hAnsi="Arial" w:hint="default"/>
      </w:rPr>
    </w:lvl>
    <w:lvl w:ilvl="4" w:tplc="60D072C6" w:tentative="1">
      <w:start w:val="1"/>
      <w:numFmt w:val="bullet"/>
      <w:lvlText w:val="•"/>
      <w:lvlJc w:val="left"/>
      <w:pPr>
        <w:tabs>
          <w:tab w:val="num" w:pos="3600"/>
        </w:tabs>
        <w:ind w:left="3600" w:hanging="360"/>
      </w:pPr>
      <w:rPr>
        <w:rFonts w:ascii="Arial" w:hAnsi="Arial" w:hint="default"/>
      </w:rPr>
    </w:lvl>
    <w:lvl w:ilvl="5" w:tplc="7124020C" w:tentative="1">
      <w:start w:val="1"/>
      <w:numFmt w:val="bullet"/>
      <w:lvlText w:val="•"/>
      <w:lvlJc w:val="left"/>
      <w:pPr>
        <w:tabs>
          <w:tab w:val="num" w:pos="4320"/>
        </w:tabs>
        <w:ind w:left="4320" w:hanging="360"/>
      </w:pPr>
      <w:rPr>
        <w:rFonts w:ascii="Arial" w:hAnsi="Arial" w:hint="default"/>
      </w:rPr>
    </w:lvl>
    <w:lvl w:ilvl="6" w:tplc="F51CB340" w:tentative="1">
      <w:start w:val="1"/>
      <w:numFmt w:val="bullet"/>
      <w:lvlText w:val="•"/>
      <w:lvlJc w:val="left"/>
      <w:pPr>
        <w:tabs>
          <w:tab w:val="num" w:pos="5040"/>
        </w:tabs>
        <w:ind w:left="5040" w:hanging="360"/>
      </w:pPr>
      <w:rPr>
        <w:rFonts w:ascii="Arial" w:hAnsi="Arial" w:hint="default"/>
      </w:rPr>
    </w:lvl>
    <w:lvl w:ilvl="7" w:tplc="2B2A5A48" w:tentative="1">
      <w:start w:val="1"/>
      <w:numFmt w:val="bullet"/>
      <w:lvlText w:val="•"/>
      <w:lvlJc w:val="left"/>
      <w:pPr>
        <w:tabs>
          <w:tab w:val="num" w:pos="5760"/>
        </w:tabs>
        <w:ind w:left="5760" w:hanging="360"/>
      </w:pPr>
      <w:rPr>
        <w:rFonts w:ascii="Arial" w:hAnsi="Arial" w:hint="default"/>
      </w:rPr>
    </w:lvl>
    <w:lvl w:ilvl="8" w:tplc="02CCC7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FCF2ED0"/>
    <w:multiLevelType w:val="hybridMultilevel"/>
    <w:tmpl w:val="3D24212A"/>
    <w:lvl w:ilvl="0" w:tplc="A1689EB0">
      <w:start w:val="1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cs="Times New Roman" w:hint="default"/>
      </w:rPr>
    </w:lvl>
    <w:lvl w:ilvl="1" w:tplc="96642394">
      <w:start w:val="576"/>
      <w:numFmt w:val="bullet"/>
      <w:lvlText w:val="•"/>
      <w:lvlJc w:val="left"/>
      <w:pPr>
        <w:tabs>
          <w:tab w:val="num" w:pos="1440"/>
        </w:tabs>
        <w:ind w:left="1440" w:hanging="360"/>
      </w:pPr>
      <w:rPr>
        <w:rFonts w:ascii="Arial" w:hAnsi="Arial" w:cs="Times New Roman" w:hint="default"/>
      </w:rPr>
    </w:lvl>
    <w:lvl w:ilvl="2" w:tplc="559CCBE2">
      <w:start w:val="576"/>
      <w:numFmt w:val="bullet"/>
      <w:lvlText w:val="•"/>
      <w:lvlJc w:val="left"/>
      <w:pPr>
        <w:tabs>
          <w:tab w:val="num" w:pos="2160"/>
        </w:tabs>
        <w:ind w:left="2160" w:hanging="360"/>
      </w:pPr>
      <w:rPr>
        <w:rFonts w:ascii="Arial" w:hAnsi="Arial" w:cs="Times New Roman" w:hint="default"/>
      </w:rPr>
    </w:lvl>
    <w:lvl w:ilvl="3" w:tplc="136A0780">
      <w:start w:val="576"/>
      <w:numFmt w:val="bullet"/>
      <w:lvlText w:val="•"/>
      <w:lvlJc w:val="left"/>
      <w:pPr>
        <w:tabs>
          <w:tab w:val="num" w:pos="2880"/>
        </w:tabs>
        <w:ind w:left="2880" w:hanging="360"/>
      </w:pPr>
      <w:rPr>
        <w:rFonts w:ascii="Arial" w:hAnsi="Arial" w:cs="Times New Roman" w:hint="default"/>
      </w:rPr>
    </w:lvl>
    <w:lvl w:ilvl="4" w:tplc="F7A2CBC4">
      <w:start w:val="1"/>
      <w:numFmt w:val="bullet"/>
      <w:lvlText w:val="•"/>
      <w:lvlJc w:val="left"/>
      <w:pPr>
        <w:tabs>
          <w:tab w:val="num" w:pos="3600"/>
        </w:tabs>
        <w:ind w:left="3600" w:hanging="360"/>
      </w:pPr>
      <w:rPr>
        <w:rFonts w:ascii="Arial" w:hAnsi="Arial" w:cs="Times New Roman" w:hint="default"/>
      </w:rPr>
    </w:lvl>
    <w:lvl w:ilvl="5" w:tplc="BB10D556">
      <w:start w:val="1"/>
      <w:numFmt w:val="bullet"/>
      <w:lvlText w:val="•"/>
      <w:lvlJc w:val="left"/>
      <w:pPr>
        <w:tabs>
          <w:tab w:val="num" w:pos="4320"/>
        </w:tabs>
        <w:ind w:left="4320" w:hanging="360"/>
      </w:pPr>
      <w:rPr>
        <w:rFonts w:ascii="Arial" w:hAnsi="Arial" w:cs="Times New Roman" w:hint="default"/>
      </w:rPr>
    </w:lvl>
    <w:lvl w:ilvl="6" w:tplc="C1182A56">
      <w:start w:val="1"/>
      <w:numFmt w:val="bullet"/>
      <w:lvlText w:val="•"/>
      <w:lvlJc w:val="left"/>
      <w:pPr>
        <w:tabs>
          <w:tab w:val="num" w:pos="5040"/>
        </w:tabs>
        <w:ind w:left="5040" w:hanging="360"/>
      </w:pPr>
      <w:rPr>
        <w:rFonts w:ascii="Arial" w:hAnsi="Arial" w:cs="Times New Roman" w:hint="default"/>
      </w:rPr>
    </w:lvl>
    <w:lvl w:ilvl="7" w:tplc="75A6E2B4">
      <w:start w:val="1"/>
      <w:numFmt w:val="bullet"/>
      <w:lvlText w:val="•"/>
      <w:lvlJc w:val="left"/>
      <w:pPr>
        <w:tabs>
          <w:tab w:val="num" w:pos="5760"/>
        </w:tabs>
        <w:ind w:left="5760" w:hanging="360"/>
      </w:pPr>
      <w:rPr>
        <w:rFonts w:ascii="Arial" w:hAnsi="Arial" w:cs="Times New Roman" w:hint="default"/>
      </w:rPr>
    </w:lvl>
    <w:lvl w:ilvl="8" w:tplc="95A67B0C">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4C62ACE"/>
    <w:multiLevelType w:val="hybridMultilevel"/>
    <w:tmpl w:val="96861484"/>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11" w15:restartNumberingAfterBreak="0">
    <w:nsid w:val="1AF96B47"/>
    <w:multiLevelType w:val="hybridMultilevel"/>
    <w:tmpl w:val="8FA8A030"/>
    <w:lvl w:ilvl="0" w:tplc="F6BC2BF0">
      <w:start w:val="1"/>
      <w:numFmt w:val="bullet"/>
      <w:lvlText w:val="•"/>
      <w:lvlJc w:val="left"/>
      <w:pPr>
        <w:tabs>
          <w:tab w:val="num" w:pos="720"/>
        </w:tabs>
        <w:ind w:left="720" w:hanging="360"/>
      </w:pPr>
      <w:rPr>
        <w:rFonts w:ascii="Arial" w:hAnsi="Arial" w:hint="default"/>
      </w:rPr>
    </w:lvl>
    <w:lvl w:ilvl="1" w:tplc="0416321E">
      <w:start w:val="425"/>
      <w:numFmt w:val="bullet"/>
      <w:lvlText w:val="–"/>
      <w:lvlJc w:val="left"/>
      <w:pPr>
        <w:tabs>
          <w:tab w:val="num" w:pos="1440"/>
        </w:tabs>
        <w:ind w:left="1440" w:hanging="360"/>
      </w:pPr>
      <w:rPr>
        <w:rFonts w:ascii="Arial" w:hAnsi="Arial" w:hint="default"/>
      </w:rPr>
    </w:lvl>
    <w:lvl w:ilvl="2" w:tplc="01D49BCE" w:tentative="1">
      <w:start w:val="1"/>
      <w:numFmt w:val="bullet"/>
      <w:lvlText w:val="•"/>
      <w:lvlJc w:val="left"/>
      <w:pPr>
        <w:tabs>
          <w:tab w:val="num" w:pos="2160"/>
        </w:tabs>
        <w:ind w:left="2160" w:hanging="360"/>
      </w:pPr>
      <w:rPr>
        <w:rFonts w:ascii="Arial" w:hAnsi="Arial" w:hint="default"/>
      </w:rPr>
    </w:lvl>
    <w:lvl w:ilvl="3" w:tplc="99189532" w:tentative="1">
      <w:start w:val="1"/>
      <w:numFmt w:val="bullet"/>
      <w:lvlText w:val="•"/>
      <w:lvlJc w:val="left"/>
      <w:pPr>
        <w:tabs>
          <w:tab w:val="num" w:pos="2880"/>
        </w:tabs>
        <w:ind w:left="2880" w:hanging="360"/>
      </w:pPr>
      <w:rPr>
        <w:rFonts w:ascii="Arial" w:hAnsi="Arial" w:hint="default"/>
      </w:rPr>
    </w:lvl>
    <w:lvl w:ilvl="4" w:tplc="0EC88A12" w:tentative="1">
      <w:start w:val="1"/>
      <w:numFmt w:val="bullet"/>
      <w:lvlText w:val="•"/>
      <w:lvlJc w:val="left"/>
      <w:pPr>
        <w:tabs>
          <w:tab w:val="num" w:pos="3600"/>
        </w:tabs>
        <w:ind w:left="3600" w:hanging="360"/>
      </w:pPr>
      <w:rPr>
        <w:rFonts w:ascii="Arial" w:hAnsi="Arial" w:hint="default"/>
      </w:rPr>
    </w:lvl>
    <w:lvl w:ilvl="5" w:tplc="6C8820A0" w:tentative="1">
      <w:start w:val="1"/>
      <w:numFmt w:val="bullet"/>
      <w:lvlText w:val="•"/>
      <w:lvlJc w:val="left"/>
      <w:pPr>
        <w:tabs>
          <w:tab w:val="num" w:pos="4320"/>
        </w:tabs>
        <w:ind w:left="4320" w:hanging="360"/>
      </w:pPr>
      <w:rPr>
        <w:rFonts w:ascii="Arial" w:hAnsi="Arial" w:hint="default"/>
      </w:rPr>
    </w:lvl>
    <w:lvl w:ilvl="6" w:tplc="15CA25F0" w:tentative="1">
      <w:start w:val="1"/>
      <w:numFmt w:val="bullet"/>
      <w:lvlText w:val="•"/>
      <w:lvlJc w:val="left"/>
      <w:pPr>
        <w:tabs>
          <w:tab w:val="num" w:pos="5040"/>
        </w:tabs>
        <w:ind w:left="5040" w:hanging="360"/>
      </w:pPr>
      <w:rPr>
        <w:rFonts w:ascii="Arial" w:hAnsi="Arial" w:hint="default"/>
      </w:rPr>
    </w:lvl>
    <w:lvl w:ilvl="7" w:tplc="CF38282E" w:tentative="1">
      <w:start w:val="1"/>
      <w:numFmt w:val="bullet"/>
      <w:lvlText w:val="•"/>
      <w:lvlJc w:val="left"/>
      <w:pPr>
        <w:tabs>
          <w:tab w:val="num" w:pos="5760"/>
        </w:tabs>
        <w:ind w:left="5760" w:hanging="360"/>
      </w:pPr>
      <w:rPr>
        <w:rFonts w:ascii="Arial" w:hAnsi="Arial" w:hint="default"/>
      </w:rPr>
    </w:lvl>
    <w:lvl w:ilvl="8" w:tplc="E8DA858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2E67A72"/>
    <w:multiLevelType w:val="multilevel"/>
    <w:tmpl w:val="22E67A7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689023A"/>
    <w:multiLevelType w:val="hybridMultilevel"/>
    <w:tmpl w:val="D652B2FE"/>
    <w:lvl w:ilvl="0" w:tplc="71FE8D2E">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A5D7BCA"/>
    <w:multiLevelType w:val="multilevel"/>
    <w:tmpl w:val="74BA6722"/>
    <w:lvl w:ilvl="0">
      <w:start w:val="1"/>
      <w:numFmt w:val="bullet"/>
      <w:lvlText w:val=""/>
      <w:lvlJc w:val="left"/>
      <w:pPr>
        <w:ind w:left="360" w:hanging="360"/>
      </w:pPr>
      <w:rPr>
        <w:rFonts w:ascii="Symbol" w:hAnsi="Symbol" w:hint="default"/>
      </w:rPr>
    </w:lvl>
    <w:lvl w:ilvl="1">
      <w:start w:val="14"/>
      <w:numFmt w:val="bullet"/>
      <w:lvlText w:val="-"/>
      <w:lvlJc w:val="left"/>
      <w:pPr>
        <w:ind w:left="1080" w:hanging="360"/>
      </w:pPr>
      <w:rPr>
        <w:rFonts w:ascii="Times New Roman" w:eastAsia="Malgun Gothic" w:hAnsi="Times New Roman"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2B6E22"/>
    <w:multiLevelType w:val="hybridMultilevel"/>
    <w:tmpl w:val="DA269D46"/>
    <w:lvl w:ilvl="0" w:tplc="30C2FCA4">
      <w:start w:val="1"/>
      <w:numFmt w:val="bullet"/>
      <w:lvlText w:val="•"/>
      <w:lvlJc w:val="left"/>
      <w:pPr>
        <w:tabs>
          <w:tab w:val="num" w:pos="720"/>
        </w:tabs>
        <w:ind w:left="720" w:hanging="360"/>
      </w:pPr>
      <w:rPr>
        <w:rFonts w:ascii="Arial" w:hAnsi="Arial" w:hint="default"/>
      </w:rPr>
    </w:lvl>
    <w:lvl w:ilvl="1" w:tplc="C4DEF122">
      <w:start w:val="2949"/>
      <w:numFmt w:val="bullet"/>
      <w:lvlText w:val="•"/>
      <w:lvlJc w:val="left"/>
      <w:pPr>
        <w:tabs>
          <w:tab w:val="num" w:pos="1440"/>
        </w:tabs>
        <w:ind w:left="1440" w:hanging="360"/>
      </w:pPr>
      <w:rPr>
        <w:rFonts w:ascii="Arial" w:hAnsi="Arial" w:hint="default"/>
      </w:rPr>
    </w:lvl>
    <w:lvl w:ilvl="2" w:tplc="4EDEF5E6" w:tentative="1">
      <w:start w:val="1"/>
      <w:numFmt w:val="bullet"/>
      <w:lvlText w:val="•"/>
      <w:lvlJc w:val="left"/>
      <w:pPr>
        <w:tabs>
          <w:tab w:val="num" w:pos="2160"/>
        </w:tabs>
        <w:ind w:left="2160" w:hanging="360"/>
      </w:pPr>
      <w:rPr>
        <w:rFonts w:ascii="Arial" w:hAnsi="Arial" w:hint="default"/>
      </w:rPr>
    </w:lvl>
    <w:lvl w:ilvl="3" w:tplc="2384F846" w:tentative="1">
      <w:start w:val="1"/>
      <w:numFmt w:val="bullet"/>
      <w:lvlText w:val="•"/>
      <w:lvlJc w:val="left"/>
      <w:pPr>
        <w:tabs>
          <w:tab w:val="num" w:pos="2880"/>
        </w:tabs>
        <w:ind w:left="2880" w:hanging="360"/>
      </w:pPr>
      <w:rPr>
        <w:rFonts w:ascii="Arial" w:hAnsi="Arial" w:hint="default"/>
      </w:rPr>
    </w:lvl>
    <w:lvl w:ilvl="4" w:tplc="2E5269D0" w:tentative="1">
      <w:start w:val="1"/>
      <w:numFmt w:val="bullet"/>
      <w:lvlText w:val="•"/>
      <w:lvlJc w:val="left"/>
      <w:pPr>
        <w:tabs>
          <w:tab w:val="num" w:pos="3600"/>
        </w:tabs>
        <w:ind w:left="3600" w:hanging="360"/>
      </w:pPr>
      <w:rPr>
        <w:rFonts w:ascii="Arial" w:hAnsi="Arial" w:hint="default"/>
      </w:rPr>
    </w:lvl>
    <w:lvl w:ilvl="5" w:tplc="B562FADA" w:tentative="1">
      <w:start w:val="1"/>
      <w:numFmt w:val="bullet"/>
      <w:lvlText w:val="•"/>
      <w:lvlJc w:val="left"/>
      <w:pPr>
        <w:tabs>
          <w:tab w:val="num" w:pos="4320"/>
        </w:tabs>
        <w:ind w:left="4320" w:hanging="360"/>
      </w:pPr>
      <w:rPr>
        <w:rFonts w:ascii="Arial" w:hAnsi="Arial" w:hint="default"/>
      </w:rPr>
    </w:lvl>
    <w:lvl w:ilvl="6" w:tplc="1E26087C" w:tentative="1">
      <w:start w:val="1"/>
      <w:numFmt w:val="bullet"/>
      <w:lvlText w:val="•"/>
      <w:lvlJc w:val="left"/>
      <w:pPr>
        <w:tabs>
          <w:tab w:val="num" w:pos="5040"/>
        </w:tabs>
        <w:ind w:left="5040" w:hanging="360"/>
      </w:pPr>
      <w:rPr>
        <w:rFonts w:ascii="Arial" w:hAnsi="Arial" w:hint="default"/>
      </w:rPr>
    </w:lvl>
    <w:lvl w:ilvl="7" w:tplc="EB4ED254" w:tentative="1">
      <w:start w:val="1"/>
      <w:numFmt w:val="bullet"/>
      <w:lvlText w:val="•"/>
      <w:lvlJc w:val="left"/>
      <w:pPr>
        <w:tabs>
          <w:tab w:val="num" w:pos="5760"/>
        </w:tabs>
        <w:ind w:left="5760" w:hanging="360"/>
      </w:pPr>
      <w:rPr>
        <w:rFonts w:ascii="Arial" w:hAnsi="Arial" w:hint="default"/>
      </w:rPr>
    </w:lvl>
    <w:lvl w:ilvl="8" w:tplc="927053D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DA0A2F"/>
    <w:multiLevelType w:val="hybridMultilevel"/>
    <w:tmpl w:val="C2B05760"/>
    <w:lvl w:ilvl="0" w:tplc="6C28A352">
      <w:start w:val="1"/>
      <w:numFmt w:val="bullet"/>
      <w:lvlText w:val="•"/>
      <w:lvlJc w:val="left"/>
      <w:pPr>
        <w:tabs>
          <w:tab w:val="num" w:pos="720"/>
        </w:tabs>
        <w:ind w:left="720" w:hanging="360"/>
      </w:pPr>
      <w:rPr>
        <w:rFonts w:ascii="Arial" w:hAnsi="Arial" w:hint="default"/>
      </w:rPr>
    </w:lvl>
    <w:lvl w:ilvl="1" w:tplc="1DB6120C">
      <w:start w:val="1648"/>
      <w:numFmt w:val="bullet"/>
      <w:lvlText w:val="–"/>
      <w:lvlJc w:val="left"/>
      <w:pPr>
        <w:tabs>
          <w:tab w:val="num" w:pos="1440"/>
        </w:tabs>
        <w:ind w:left="1440" w:hanging="360"/>
      </w:pPr>
      <w:rPr>
        <w:rFonts w:ascii="Arial" w:hAnsi="Arial" w:hint="default"/>
      </w:rPr>
    </w:lvl>
    <w:lvl w:ilvl="2" w:tplc="C5FCDFC2">
      <w:start w:val="1648"/>
      <w:numFmt w:val="bullet"/>
      <w:lvlText w:val="•"/>
      <w:lvlJc w:val="left"/>
      <w:pPr>
        <w:tabs>
          <w:tab w:val="num" w:pos="2160"/>
        </w:tabs>
        <w:ind w:left="2160" w:hanging="360"/>
      </w:pPr>
      <w:rPr>
        <w:rFonts w:ascii="Arial" w:hAnsi="Arial" w:hint="default"/>
      </w:rPr>
    </w:lvl>
    <w:lvl w:ilvl="3" w:tplc="A73AECEE">
      <w:start w:val="1648"/>
      <w:numFmt w:val="bullet"/>
      <w:lvlText w:val="–"/>
      <w:lvlJc w:val="left"/>
      <w:pPr>
        <w:tabs>
          <w:tab w:val="num" w:pos="2880"/>
        </w:tabs>
        <w:ind w:left="2880" w:hanging="360"/>
      </w:pPr>
      <w:rPr>
        <w:rFonts w:ascii="Arial" w:hAnsi="Arial" w:hint="default"/>
      </w:rPr>
    </w:lvl>
    <w:lvl w:ilvl="4" w:tplc="1CB4AF50" w:tentative="1">
      <w:start w:val="1"/>
      <w:numFmt w:val="bullet"/>
      <w:lvlText w:val="•"/>
      <w:lvlJc w:val="left"/>
      <w:pPr>
        <w:tabs>
          <w:tab w:val="num" w:pos="3600"/>
        </w:tabs>
        <w:ind w:left="3600" w:hanging="360"/>
      </w:pPr>
      <w:rPr>
        <w:rFonts w:ascii="Arial" w:hAnsi="Arial" w:hint="default"/>
      </w:rPr>
    </w:lvl>
    <w:lvl w:ilvl="5" w:tplc="059CB318" w:tentative="1">
      <w:start w:val="1"/>
      <w:numFmt w:val="bullet"/>
      <w:lvlText w:val="•"/>
      <w:lvlJc w:val="left"/>
      <w:pPr>
        <w:tabs>
          <w:tab w:val="num" w:pos="4320"/>
        </w:tabs>
        <w:ind w:left="4320" w:hanging="360"/>
      </w:pPr>
      <w:rPr>
        <w:rFonts w:ascii="Arial" w:hAnsi="Arial" w:hint="default"/>
      </w:rPr>
    </w:lvl>
    <w:lvl w:ilvl="6" w:tplc="0E3ED1E6" w:tentative="1">
      <w:start w:val="1"/>
      <w:numFmt w:val="bullet"/>
      <w:lvlText w:val="•"/>
      <w:lvlJc w:val="left"/>
      <w:pPr>
        <w:tabs>
          <w:tab w:val="num" w:pos="5040"/>
        </w:tabs>
        <w:ind w:left="5040" w:hanging="360"/>
      </w:pPr>
      <w:rPr>
        <w:rFonts w:ascii="Arial" w:hAnsi="Arial" w:hint="default"/>
      </w:rPr>
    </w:lvl>
    <w:lvl w:ilvl="7" w:tplc="15DE5C2A" w:tentative="1">
      <w:start w:val="1"/>
      <w:numFmt w:val="bullet"/>
      <w:lvlText w:val="•"/>
      <w:lvlJc w:val="left"/>
      <w:pPr>
        <w:tabs>
          <w:tab w:val="num" w:pos="5760"/>
        </w:tabs>
        <w:ind w:left="5760" w:hanging="360"/>
      </w:pPr>
      <w:rPr>
        <w:rFonts w:ascii="Arial" w:hAnsi="Arial" w:hint="default"/>
      </w:rPr>
    </w:lvl>
    <w:lvl w:ilvl="8" w:tplc="264204F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5E45224"/>
    <w:multiLevelType w:val="hybridMultilevel"/>
    <w:tmpl w:val="E9B2CE2A"/>
    <w:lvl w:ilvl="0" w:tplc="BAA8334C">
      <w:start w:val="1"/>
      <w:numFmt w:val="bullet"/>
      <w:lvlText w:val="•"/>
      <w:lvlJc w:val="left"/>
      <w:pPr>
        <w:tabs>
          <w:tab w:val="num" w:pos="720"/>
        </w:tabs>
        <w:ind w:left="720" w:hanging="360"/>
      </w:pPr>
      <w:rPr>
        <w:rFonts w:ascii="Arial" w:hAnsi="Arial" w:hint="default"/>
      </w:rPr>
    </w:lvl>
    <w:lvl w:ilvl="1" w:tplc="38CC42D4">
      <w:start w:val="1647"/>
      <w:numFmt w:val="bullet"/>
      <w:lvlText w:val="–"/>
      <w:lvlJc w:val="left"/>
      <w:pPr>
        <w:tabs>
          <w:tab w:val="num" w:pos="1440"/>
        </w:tabs>
        <w:ind w:left="1440" w:hanging="360"/>
      </w:pPr>
      <w:rPr>
        <w:rFonts w:ascii="Arial" w:hAnsi="Arial" w:hint="default"/>
      </w:rPr>
    </w:lvl>
    <w:lvl w:ilvl="2" w:tplc="359896B4">
      <w:start w:val="1647"/>
      <w:numFmt w:val="bullet"/>
      <w:lvlText w:val="•"/>
      <w:lvlJc w:val="left"/>
      <w:pPr>
        <w:tabs>
          <w:tab w:val="num" w:pos="2160"/>
        </w:tabs>
        <w:ind w:left="2160" w:hanging="360"/>
      </w:pPr>
      <w:rPr>
        <w:rFonts w:ascii="Arial" w:hAnsi="Arial" w:hint="default"/>
      </w:rPr>
    </w:lvl>
    <w:lvl w:ilvl="3" w:tplc="F912C566">
      <w:start w:val="1"/>
      <w:numFmt w:val="bullet"/>
      <w:lvlText w:val="•"/>
      <w:lvlJc w:val="left"/>
      <w:pPr>
        <w:tabs>
          <w:tab w:val="num" w:pos="2880"/>
        </w:tabs>
        <w:ind w:left="2880" w:hanging="360"/>
      </w:pPr>
      <w:rPr>
        <w:rFonts w:ascii="Arial" w:hAnsi="Arial" w:hint="default"/>
      </w:rPr>
    </w:lvl>
    <w:lvl w:ilvl="4" w:tplc="96689870" w:tentative="1">
      <w:start w:val="1"/>
      <w:numFmt w:val="bullet"/>
      <w:lvlText w:val="•"/>
      <w:lvlJc w:val="left"/>
      <w:pPr>
        <w:tabs>
          <w:tab w:val="num" w:pos="3600"/>
        </w:tabs>
        <w:ind w:left="3600" w:hanging="360"/>
      </w:pPr>
      <w:rPr>
        <w:rFonts w:ascii="Arial" w:hAnsi="Arial" w:hint="default"/>
      </w:rPr>
    </w:lvl>
    <w:lvl w:ilvl="5" w:tplc="7764D8F4" w:tentative="1">
      <w:start w:val="1"/>
      <w:numFmt w:val="bullet"/>
      <w:lvlText w:val="•"/>
      <w:lvlJc w:val="left"/>
      <w:pPr>
        <w:tabs>
          <w:tab w:val="num" w:pos="4320"/>
        </w:tabs>
        <w:ind w:left="4320" w:hanging="360"/>
      </w:pPr>
      <w:rPr>
        <w:rFonts w:ascii="Arial" w:hAnsi="Arial" w:hint="default"/>
      </w:rPr>
    </w:lvl>
    <w:lvl w:ilvl="6" w:tplc="99EEED76" w:tentative="1">
      <w:start w:val="1"/>
      <w:numFmt w:val="bullet"/>
      <w:lvlText w:val="•"/>
      <w:lvlJc w:val="left"/>
      <w:pPr>
        <w:tabs>
          <w:tab w:val="num" w:pos="5040"/>
        </w:tabs>
        <w:ind w:left="5040" w:hanging="360"/>
      </w:pPr>
      <w:rPr>
        <w:rFonts w:ascii="Arial" w:hAnsi="Arial" w:hint="default"/>
      </w:rPr>
    </w:lvl>
    <w:lvl w:ilvl="7" w:tplc="5240B37C" w:tentative="1">
      <w:start w:val="1"/>
      <w:numFmt w:val="bullet"/>
      <w:lvlText w:val="•"/>
      <w:lvlJc w:val="left"/>
      <w:pPr>
        <w:tabs>
          <w:tab w:val="num" w:pos="5760"/>
        </w:tabs>
        <w:ind w:left="5760" w:hanging="360"/>
      </w:pPr>
      <w:rPr>
        <w:rFonts w:ascii="Arial" w:hAnsi="Arial" w:hint="default"/>
      </w:rPr>
    </w:lvl>
    <w:lvl w:ilvl="8" w:tplc="240A005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8FC6C3C"/>
    <w:multiLevelType w:val="hybridMultilevel"/>
    <w:tmpl w:val="90326322"/>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DC904AE"/>
    <w:multiLevelType w:val="hybridMultilevel"/>
    <w:tmpl w:val="D1A4F5D8"/>
    <w:lvl w:ilvl="0" w:tplc="E48A372A">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F2E08BC"/>
    <w:multiLevelType w:val="hybridMultilevel"/>
    <w:tmpl w:val="953486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E25387F"/>
    <w:multiLevelType w:val="hybridMultilevel"/>
    <w:tmpl w:val="1062E5DC"/>
    <w:lvl w:ilvl="0" w:tplc="3EC435B6">
      <w:start w:val="45"/>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24"/>
  </w:num>
  <w:num w:numId="3">
    <w:abstractNumId w:val="20"/>
  </w:num>
  <w:num w:numId="4">
    <w:abstractNumId w:val="21"/>
  </w:num>
  <w:num w:numId="5">
    <w:abstractNumId w:val="17"/>
  </w:num>
  <w:num w:numId="6">
    <w:abstractNumId w:val="22"/>
  </w:num>
  <w:num w:numId="7">
    <w:abstractNumId w:val="28"/>
  </w:num>
  <w:num w:numId="8">
    <w:abstractNumId w:val="18"/>
  </w:num>
  <w:num w:numId="9">
    <w:abstractNumId w:val="25"/>
  </w:num>
  <w:num w:numId="10">
    <w:abstractNumId w:val="30"/>
  </w:num>
  <w:num w:numId="11">
    <w:abstractNumId w:val="20"/>
    <w:lvlOverride w:ilvl="0">
      <w:startOverride w:val="1"/>
    </w:lvlOverride>
  </w:num>
  <w:num w:numId="12">
    <w:abstractNumId w:val="31"/>
  </w:num>
  <w:num w:numId="13">
    <w:abstractNumId w:val="33"/>
  </w:num>
  <w:num w:numId="14">
    <w:abstractNumId w:val="29"/>
  </w:num>
  <w:num w:numId="15">
    <w:abstractNumId w:val="19"/>
  </w:num>
  <w:num w:numId="16">
    <w:abstractNumId w:val="32"/>
  </w:num>
  <w:num w:numId="17">
    <w:abstractNumId w:val="10"/>
  </w:num>
  <w:num w:numId="18">
    <w:abstractNumId w:val="3"/>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0"/>
    <w:lvlOverride w:ilvl="0">
      <w:startOverride w:val="1"/>
    </w:lvlOverride>
  </w:num>
  <w:num w:numId="22">
    <w:abstractNumId w:val="16"/>
  </w:num>
  <w:num w:numId="23">
    <w:abstractNumId w:val="2"/>
  </w:num>
  <w:num w:numId="24">
    <w:abstractNumId w:val="1"/>
  </w:num>
  <w:num w:numId="25">
    <w:abstractNumId w:val="0"/>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3"/>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9"/>
  </w:num>
  <w:num w:numId="33">
    <w:abstractNumId w:val="25"/>
  </w:num>
  <w:num w:numId="34">
    <w:abstractNumId w:val="23"/>
  </w:num>
  <w:num w:numId="35">
    <w:abstractNumId w:val="25"/>
  </w:num>
  <w:num w:numId="36">
    <w:abstractNumId w:val="7"/>
  </w:num>
  <w:num w:numId="37">
    <w:abstractNumId w:val="11"/>
  </w:num>
  <w:num w:numId="38">
    <w:abstractNumId w:val="27"/>
  </w:num>
  <w:num w:numId="39">
    <w:abstractNumId w:val="6"/>
  </w:num>
  <w:num w:numId="40">
    <w:abstractNumId w:val="26"/>
  </w:num>
  <w:num w:numId="41">
    <w:abstractNumId w:val="13"/>
  </w:num>
  <w:num w:numId="42">
    <w:abstractNumId w:val="12"/>
  </w:num>
  <w:num w:numId="43">
    <w:abstractNumId w:val="8"/>
  </w:num>
  <w:num w:numId="44">
    <w:abstractNumId w:val="15"/>
  </w:num>
  <w:num w:numId="45">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fi-FI" w:vendorID="64" w:dllVersion="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407"/>
    <w:rsid w:val="000006E1"/>
    <w:rsid w:val="00002A37"/>
    <w:rsid w:val="000030C2"/>
    <w:rsid w:val="000044B0"/>
    <w:rsid w:val="00006446"/>
    <w:rsid w:val="00006896"/>
    <w:rsid w:val="00006B58"/>
    <w:rsid w:val="000072B5"/>
    <w:rsid w:val="00007CDC"/>
    <w:rsid w:val="00010397"/>
    <w:rsid w:val="00010E3F"/>
    <w:rsid w:val="00011B28"/>
    <w:rsid w:val="000144B9"/>
    <w:rsid w:val="00015D15"/>
    <w:rsid w:val="00024D29"/>
    <w:rsid w:val="0002564D"/>
    <w:rsid w:val="00025ECA"/>
    <w:rsid w:val="00027939"/>
    <w:rsid w:val="000325B8"/>
    <w:rsid w:val="00034C15"/>
    <w:rsid w:val="00036BA1"/>
    <w:rsid w:val="000376BC"/>
    <w:rsid w:val="000422E2"/>
    <w:rsid w:val="0004243D"/>
    <w:rsid w:val="00042F22"/>
    <w:rsid w:val="000444EF"/>
    <w:rsid w:val="00045481"/>
    <w:rsid w:val="0004676E"/>
    <w:rsid w:val="0005087B"/>
    <w:rsid w:val="00052A07"/>
    <w:rsid w:val="000534E3"/>
    <w:rsid w:val="0005606A"/>
    <w:rsid w:val="00057117"/>
    <w:rsid w:val="0006072A"/>
    <w:rsid w:val="000616E7"/>
    <w:rsid w:val="00062940"/>
    <w:rsid w:val="0006487E"/>
    <w:rsid w:val="00065E1A"/>
    <w:rsid w:val="000705C3"/>
    <w:rsid w:val="00072023"/>
    <w:rsid w:val="00077E5F"/>
    <w:rsid w:val="0008036A"/>
    <w:rsid w:val="00080DCB"/>
    <w:rsid w:val="000817A2"/>
    <w:rsid w:val="00081AE6"/>
    <w:rsid w:val="00081D62"/>
    <w:rsid w:val="00082E7B"/>
    <w:rsid w:val="000855EB"/>
    <w:rsid w:val="00085B52"/>
    <w:rsid w:val="00085CCC"/>
    <w:rsid w:val="000866F2"/>
    <w:rsid w:val="0009009F"/>
    <w:rsid w:val="00091557"/>
    <w:rsid w:val="000924C1"/>
    <w:rsid w:val="000924F0"/>
    <w:rsid w:val="000928F5"/>
    <w:rsid w:val="00092A72"/>
    <w:rsid w:val="00093474"/>
    <w:rsid w:val="0009510F"/>
    <w:rsid w:val="000A0CA2"/>
    <w:rsid w:val="000A1B7B"/>
    <w:rsid w:val="000A335B"/>
    <w:rsid w:val="000A4CE1"/>
    <w:rsid w:val="000A56F2"/>
    <w:rsid w:val="000B010B"/>
    <w:rsid w:val="000B16A6"/>
    <w:rsid w:val="000B2719"/>
    <w:rsid w:val="000B387D"/>
    <w:rsid w:val="000B3A8F"/>
    <w:rsid w:val="000B4AB9"/>
    <w:rsid w:val="000B58C3"/>
    <w:rsid w:val="000B61E9"/>
    <w:rsid w:val="000C165A"/>
    <w:rsid w:val="000C2E19"/>
    <w:rsid w:val="000C4E7C"/>
    <w:rsid w:val="000C6BC7"/>
    <w:rsid w:val="000D05E3"/>
    <w:rsid w:val="000D0D07"/>
    <w:rsid w:val="000D1B45"/>
    <w:rsid w:val="000D1F47"/>
    <w:rsid w:val="000D3135"/>
    <w:rsid w:val="000D326B"/>
    <w:rsid w:val="000D32A1"/>
    <w:rsid w:val="000D4797"/>
    <w:rsid w:val="000D6D72"/>
    <w:rsid w:val="000D7FFD"/>
    <w:rsid w:val="000E0527"/>
    <w:rsid w:val="000E0FD3"/>
    <w:rsid w:val="000E1E92"/>
    <w:rsid w:val="000E2897"/>
    <w:rsid w:val="000E461A"/>
    <w:rsid w:val="000E5E60"/>
    <w:rsid w:val="000E6FCA"/>
    <w:rsid w:val="000F06D6"/>
    <w:rsid w:val="000F0EB1"/>
    <w:rsid w:val="000F1106"/>
    <w:rsid w:val="000F3BE9"/>
    <w:rsid w:val="000F3F6C"/>
    <w:rsid w:val="000F6A1E"/>
    <w:rsid w:val="000F6DF3"/>
    <w:rsid w:val="000F6ED7"/>
    <w:rsid w:val="001005FF"/>
    <w:rsid w:val="001062FB"/>
    <w:rsid w:val="001063E6"/>
    <w:rsid w:val="00110B33"/>
    <w:rsid w:val="00113CF4"/>
    <w:rsid w:val="001153EA"/>
    <w:rsid w:val="00115643"/>
    <w:rsid w:val="00116765"/>
    <w:rsid w:val="00120CD4"/>
    <w:rsid w:val="001219F5"/>
    <w:rsid w:val="00121A20"/>
    <w:rsid w:val="00122F2E"/>
    <w:rsid w:val="0012377F"/>
    <w:rsid w:val="00124314"/>
    <w:rsid w:val="00126B4A"/>
    <w:rsid w:val="0013227B"/>
    <w:rsid w:val="00132FD0"/>
    <w:rsid w:val="001344C0"/>
    <w:rsid w:val="001346FA"/>
    <w:rsid w:val="00135252"/>
    <w:rsid w:val="00137AB5"/>
    <w:rsid w:val="00137F0B"/>
    <w:rsid w:val="0014650D"/>
    <w:rsid w:val="00151E23"/>
    <w:rsid w:val="001526E0"/>
    <w:rsid w:val="001551B5"/>
    <w:rsid w:val="00157718"/>
    <w:rsid w:val="00164273"/>
    <w:rsid w:val="001643A8"/>
    <w:rsid w:val="001659C1"/>
    <w:rsid w:val="00173995"/>
    <w:rsid w:val="00173A8E"/>
    <w:rsid w:val="001744E3"/>
    <w:rsid w:val="00177795"/>
    <w:rsid w:val="0018143F"/>
    <w:rsid w:val="001831FB"/>
    <w:rsid w:val="00183EE0"/>
    <w:rsid w:val="00185DCF"/>
    <w:rsid w:val="00190AC1"/>
    <w:rsid w:val="0019242C"/>
    <w:rsid w:val="0019275A"/>
    <w:rsid w:val="0019332E"/>
    <w:rsid w:val="0019341A"/>
    <w:rsid w:val="00194A27"/>
    <w:rsid w:val="001959B4"/>
    <w:rsid w:val="00196297"/>
    <w:rsid w:val="00196B5E"/>
    <w:rsid w:val="00197DF9"/>
    <w:rsid w:val="001A1987"/>
    <w:rsid w:val="001A2564"/>
    <w:rsid w:val="001A271F"/>
    <w:rsid w:val="001A2D48"/>
    <w:rsid w:val="001A33B8"/>
    <w:rsid w:val="001A4386"/>
    <w:rsid w:val="001A6173"/>
    <w:rsid w:val="001A6CBA"/>
    <w:rsid w:val="001A772B"/>
    <w:rsid w:val="001B0D97"/>
    <w:rsid w:val="001B148F"/>
    <w:rsid w:val="001B156B"/>
    <w:rsid w:val="001B1F20"/>
    <w:rsid w:val="001B2C40"/>
    <w:rsid w:val="001B4D93"/>
    <w:rsid w:val="001B4F83"/>
    <w:rsid w:val="001B5A5D"/>
    <w:rsid w:val="001B5D49"/>
    <w:rsid w:val="001B61B3"/>
    <w:rsid w:val="001C1CE5"/>
    <w:rsid w:val="001C2EB0"/>
    <w:rsid w:val="001C3D2A"/>
    <w:rsid w:val="001C6495"/>
    <w:rsid w:val="001D0271"/>
    <w:rsid w:val="001D274A"/>
    <w:rsid w:val="001D51BA"/>
    <w:rsid w:val="001D5CF7"/>
    <w:rsid w:val="001D6342"/>
    <w:rsid w:val="001D6AB3"/>
    <w:rsid w:val="001D6D53"/>
    <w:rsid w:val="001D6E91"/>
    <w:rsid w:val="001E0A77"/>
    <w:rsid w:val="001E310E"/>
    <w:rsid w:val="001E58E2"/>
    <w:rsid w:val="001E680D"/>
    <w:rsid w:val="001E7AED"/>
    <w:rsid w:val="001F3916"/>
    <w:rsid w:val="001F54C5"/>
    <w:rsid w:val="001F57CF"/>
    <w:rsid w:val="001F5C52"/>
    <w:rsid w:val="001F662C"/>
    <w:rsid w:val="001F6A33"/>
    <w:rsid w:val="001F7074"/>
    <w:rsid w:val="001F72FE"/>
    <w:rsid w:val="001F74A2"/>
    <w:rsid w:val="00200490"/>
    <w:rsid w:val="00201F3A"/>
    <w:rsid w:val="00203F96"/>
    <w:rsid w:val="00204372"/>
    <w:rsid w:val="002069B2"/>
    <w:rsid w:val="0020759B"/>
    <w:rsid w:val="00207FA3"/>
    <w:rsid w:val="002113AD"/>
    <w:rsid w:val="00214DA8"/>
    <w:rsid w:val="002153DF"/>
    <w:rsid w:val="00215423"/>
    <w:rsid w:val="002158FA"/>
    <w:rsid w:val="00216201"/>
    <w:rsid w:val="002164B8"/>
    <w:rsid w:val="002176CE"/>
    <w:rsid w:val="00220600"/>
    <w:rsid w:val="002224DB"/>
    <w:rsid w:val="00223FCB"/>
    <w:rsid w:val="00224540"/>
    <w:rsid w:val="002252C3"/>
    <w:rsid w:val="00225C54"/>
    <w:rsid w:val="00230765"/>
    <w:rsid w:val="0023085B"/>
    <w:rsid w:val="00231011"/>
    <w:rsid w:val="002319E4"/>
    <w:rsid w:val="00233540"/>
    <w:rsid w:val="00234FBD"/>
    <w:rsid w:val="00235632"/>
    <w:rsid w:val="00235872"/>
    <w:rsid w:val="002359E6"/>
    <w:rsid w:val="00241559"/>
    <w:rsid w:val="00242F1F"/>
    <w:rsid w:val="002435B3"/>
    <w:rsid w:val="002458EB"/>
    <w:rsid w:val="002500C8"/>
    <w:rsid w:val="00250546"/>
    <w:rsid w:val="00256DAD"/>
    <w:rsid w:val="00257543"/>
    <w:rsid w:val="00257969"/>
    <w:rsid w:val="00257C9E"/>
    <w:rsid w:val="00257ED5"/>
    <w:rsid w:val="002617E7"/>
    <w:rsid w:val="00261FC8"/>
    <w:rsid w:val="00262E81"/>
    <w:rsid w:val="00264228"/>
    <w:rsid w:val="00264334"/>
    <w:rsid w:val="0026473E"/>
    <w:rsid w:val="00265C34"/>
    <w:rsid w:val="00266214"/>
    <w:rsid w:val="00266D31"/>
    <w:rsid w:val="00267C83"/>
    <w:rsid w:val="0027028B"/>
    <w:rsid w:val="002705DE"/>
    <w:rsid w:val="0027144F"/>
    <w:rsid w:val="00271F3A"/>
    <w:rsid w:val="00272FA1"/>
    <w:rsid w:val="00273278"/>
    <w:rsid w:val="002737F4"/>
    <w:rsid w:val="002805F5"/>
    <w:rsid w:val="00280751"/>
    <w:rsid w:val="0028280A"/>
    <w:rsid w:val="00283836"/>
    <w:rsid w:val="00283C38"/>
    <w:rsid w:val="002857FC"/>
    <w:rsid w:val="00286ACD"/>
    <w:rsid w:val="00287838"/>
    <w:rsid w:val="002907B5"/>
    <w:rsid w:val="00291562"/>
    <w:rsid w:val="00291B6E"/>
    <w:rsid w:val="00292EB7"/>
    <w:rsid w:val="00296227"/>
    <w:rsid w:val="00296F44"/>
    <w:rsid w:val="002974BA"/>
    <w:rsid w:val="0029776A"/>
    <w:rsid w:val="0029777D"/>
    <w:rsid w:val="00297E58"/>
    <w:rsid w:val="002A055E"/>
    <w:rsid w:val="002A1D4E"/>
    <w:rsid w:val="002A2869"/>
    <w:rsid w:val="002A3BF3"/>
    <w:rsid w:val="002A5CC8"/>
    <w:rsid w:val="002B0D3E"/>
    <w:rsid w:val="002B0FBC"/>
    <w:rsid w:val="002B223F"/>
    <w:rsid w:val="002B24D6"/>
    <w:rsid w:val="002B688A"/>
    <w:rsid w:val="002B702D"/>
    <w:rsid w:val="002C1899"/>
    <w:rsid w:val="002C41E6"/>
    <w:rsid w:val="002C5255"/>
    <w:rsid w:val="002C7835"/>
    <w:rsid w:val="002C7C8F"/>
    <w:rsid w:val="002D071A"/>
    <w:rsid w:val="002D34B2"/>
    <w:rsid w:val="002D6769"/>
    <w:rsid w:val="002D7637"/>
    <w:rsid w:val="002E17F2"/>
    <w:rsid w:val="002E3EA2"/>
    <w:rsid w:val="002E67D4"/>
    <w:rsid w:val="002E7CAE"/>
    <w:rsid w:val="002F047E"/>
    <w:rsid w:val="002F0BA2"/>
    <w:rsid w:val="002F2734"/>
    <w:rsid w:val="002F2771"/>
    <w:rsid w:val="002F37A9"/>
    <w:rsid w:val="002F4CD7"/>
    <w:rsid w:val="0030111F"/>
    <w:rsid w:val="00301CE6"/>
    <w:rsid w:val="0030256B"/>
    <w:rsid w:val="00303BD7"/>
    <w:rsid w:val="0030435A"/>
    <w:rsid w:val="00304D52"/>
    <w:rsid w:val="0030501F"/>
    <w:rsid w:val="003065F6"/>
    <w:rsid w:val="00306F2E"/>
    <w:rsid w:val="00307BA1"/>
    <w:rsid w:val="00307E50"/>
    <w:rsid w:val="003114F4"/>
    <w:rsid w:val="00311702"/>
    <w:rsid w:val="00311E82"/>
    <w:rsid w:val="0031294F"/>
    <w:rsid w:val="00312FF4"/>
    <w:rsid w:val="00313FD6"/>
    <w:rsid w:val="003143BD"/>
    <w:rsid w:val="003203ED"/>
    <w:rsid w:val="00321307"/>
    <w:rsid w:val="00322C9F"/>
    <w:rsid w:val="00324D23"/>
    <w:rsid w:val="00326A65"/>
    <w:rsid w:val="00330666"/>
    <w:rsid w:val="00331751"/>
    <w:rsid w:val="00332E7E"/>
    <w:rsid w:val="00332FCD"/>
    <w:rsid w:val="00334579"/>
    <w:rsid w:val="00334AF2"/>
    <w:rsid w:val="00335858"/>
    <w:rsid w:val="00336BDA"/>
    <w:rsid w:val="00336DAC"/>
    <w:rsid w:val="00337160"/>
    <w:rsid w:val="00342BD7"/>
    <w:rsid w:val="00343A07"/>
    <w:rsid w:val="0034475E"/>
    <w:rsid w:val="00346DB5"/>
    <w:rsid w:val="00347296"/>
    <w:rsid w:val="003477B1"/>
    <w:rsid w:val="00350DD4"/>
    <w:rsid w:val="00351647"/>
    <w:rsid w:val="00351953"/>
    <w:rsid w:val="0035482C"/>
    <w:rsid w:val="00357380"/>
    <w:rsid w:val="003602D9"/>
    <w:rsid w:val="003604CE"/>
    <w:rsid w:val="0036137D"/>
    <w:rsid w:val="00367F1E"/>
    <w:rsid w:val="00370137"/>
    <w:rsid w:val="00370E47"/>
    <w:rsid w:val="00370E5F"/>
    <w:rsid w:val="00372D42"/>
    <w:rsid w:val="00373987"/>
    <w:rsid w:val="003742AC"/>
    <w:rsid w:val="00377CE1"/>
    <w:rsid w:val="003806FB"/>
    <w:rsid w:val="00381171"/>
    <w:rsid w:val="00382598"/>
    <w:rsid w:val="00385BF0"/>
    <w:rsid w:val="003939FF"/>
    <w:rsid w:val="003A052C"/>
    <w:rsid w:val="003A20D7"/>
    <w:rsid w:val="003A2223"/>
    <w:rsid w:val="003A2A0F"/>
    <w:rsid w:val="003A2DA1"/>
    <w:rsid w:val="003A45A1"/>
    <w:rsid w:val="003A5B0A"/>
    <w:rsid w:val="003A6BAC"/>
    <w:rsid w:val="003A7EF3"/>
    <w:rsid w:val="003B159C"/>
    <w:rsid w:val="003B369F"/>
    <w:rsid w:val="003B36A3"/>
    <w:rsid w:val="003B46C4"/>
    <w:rsid w:val="003B59CA"/>
    <w:rsid w:val="003B7FE5"/>
    <w:rsid w:val="003C11C8"/>
    <w:rsid w:val="003C14A6"/>
    <w:rsid w:val="003C2702"/>
    <w:rsid w:val="003C306E"/>
    <w:rsid w:val="003C5162"/>
    <w:rsid w:val="003C590A"/>
    <w:rsid w:val="003C7806"/>
    <w:rsid w:val="003D109F"/>
    <w:rsid w:val="003D139F"/>
    <w:rsid w:val="003D2477"/>
    <w:rsid w:val="003D2478"/>
    <w:rsid w:val="003D2FC4"/>
    <w:rsid w:val="003D3C45"/>
    <w:rsid w:val="003D5B1F"/>
    <w:rsid w:val="003E060F"/>
    <w:rsid w:val="003E15FA"/>
    <w:rsid w:val="003E55E4"/>
    <w:rsid w:val="003E74E3"/>
    <w:rsid w:val="003E7B80"/>
    <w:rsid w:val="003F01DB"/>
    <w:rsid w:val="003F05C7"/>
    <w:rsid w:val="003F0A76"/>
    <w:rsid w:val="003F11B0"/>
    <w:rsid w:val="003F1F62"/>
    <w:rsid w:val="003F2CD4"/>
    <w:rsid w:val="003F36AD"/>
    <w:rsid w:val="003F6BBE"/>
    <w:rsid w:val="003F6D81"/>
    <w:rsid w:val="004000E8"/>
    <w:rsid w:val="00400165"/>
    <w:rsid w:val="0040200D"/>
    <w:rsid w:val="0040236A"/>
    <w:rsid w:val="00402B7E"/>
    <w:rsid w:val="00402E2B"/>
    <w:rsid w:val="004042F3"/>
    <w:rsid w:val="0040512B"/>
    <w:rsid w:val="00405CA5"/>
    <w:rsid w:val="00407CD3"/>
    <w:rsid w:val="00410134"/>
    <w:rsid w:val="00410603"/>
    <w:rsid w:val="00410B72"/>
    <w:rsid w:val="00410F18"/>
    <w:rsid w:val="00411A00"/>
    <w:rsid w:val="0041263E"/>
    <w:rsid w:val="00413AAC"/>
    <w:rsid w:val="004158C2"/>
    <w:rsid w:val="004201BE"/>
    <w:rsid w:val="00421105"/>
    <w:rsid w:val="00422770"/>
    <w:rsid w:val="0042357A"/>
    <w:rsid w:val="00423C43"/>
    <w:rsid w:val="004242F4"/>
    <w:rsid w:val="00427248"/>
    <w:rsid w:val="004320C5"/>
    <w:rsid w:val="00437447"/>
    <w:rsid w:val="004412DD"/>
    <w:rsid w:val="00441A92"/>
    <w:rsid w:val="0044329C"/>
    <w:rsid w:val="00444F56"/>
    <w:rsid w:val="00446488"/>
    <w:rsid w:val="004517AA"/>
    <w:rsid w:val="00452CAC"/>
    <w:rsid w:val="00454806"/>
    <w:rsid w:val="00455AD1"/>
    <w:rsid w:val="00457565"/>
    <w:rsid w:val="00457B71"/>
    <w:rsid w:val="004603F5"/>
    <w:rsid w:val="00465F3A"/>
    <w:rsid w:val="0046626A"/>
    <w:rsid w:val="004669E2"/>
    <w:rsid w:val="00470C31"/>
    <w:rsid w:val="004734D0"/>
    <w:rsid w:val="0047556B"/>
    <w:rsid w:val="00477768"/>
    <w:rsid w:val="00485A23"/>
    <w:rsid w:val="00492BC5"/>
    <w:rsid w:val="004964F1"/>
    <w:rsid w:val="004A0199"/>
    <w:rsid w:val="004A07A0"/>
    <w:rsid w:val="004A16BC"/>
    <w:rsid w:val="004A2B94"/>
    <w:rsid w:val="004A72AC"/>
    <w:rsid w:val="004A7A8C"/>
    <w:rsid w:val="004B0925"/>
    <w:rsid w:val="004B7C0C"/>
    <w:rsid w:val="004C1B75"/>
    <w:rsid w:val="004C2F28"/>
    <w:rsid w:val="004C3898"/>
    <w:rsid w:val="004C3AA9"/>
    <w:rsid w:val="004C41AE"/>
    <w:rsid w:val="004D1126"/>
    <w:rsid w:val="004D36B1"/>
    <w:rsid w:val="004D3C8B"/>
    <w:rsid w:val="004D6406"/>
    <w:rsid w:val="004D7EBD"/>
    <w:rsid w:val="004E053A"/>
    <w:rsid w:val="004E0F74"/>
    <w:rsid w:val="004E2680"/>
    <w:rsid w:val="004E28F9"/>
    <w:rsid w:val="004E3A99"/>
    <w:rsid w:val="004E462E"/>
    <w:rsid w:val="004E56DC"/>
    <w:rsid w:val="004E76F4"/>
    <w:rsid w:val="004F0B4E"/>
    <w:rsid w:val="004F0B6C"/>
    <w:rsid w:val="004F2078"/>
    <w:rsid w:val="004F4DA3"/>
    <w:rsid w:val="004F62A7"/>
    <w:rsid w:val="00500C2E"/>
    <w:rsid w:val="00502255"/>
    <w:rsid w:val="005032AF"/>
    <w:rsid w:val="00506557"/>
    <w:rsid w:val="0050677A"/>
    <w:rsid w:val="005108D8"/>
    <w:rsid w:val="005116F9"/>
    <w:rsid w:val="00514F48"/>
    <w:rsid w:val="005153A7"/>
    <w:rsid w:val="00517DC6"/>
    <w:rsid w:val="00520803"/>
    <w:rsid w:val="005219CF"/>
    <w:rsid w:val="00523909"/>
    <w:rsid w:val="00523EA0"/>
    <w:rsid w:val="0052428F"/>
    <w:rsid w:val="00524688"/>
    <w:rsid w:val="00527DC6"/>
    <w:rsid w:val="005311B5"/>
    <w:rsid w:val="00534B59"/>
    <w:rsid w:val="00536759"/>
    <w:rsid w:val="00537C62"/>
    <w:rsid w:val="00546970"/>
    <w:rsid w:val="005501C2"/>
    <w:rsid w:val="00551BA0"/>
    <w:rsid w:val="005525C4"/>
    <w:rsid w:val="00552C46"/>
    <w:rsid w:val="00554E19"/>
    <w:rsid w:val="00555349"/>
    <w:rsid w:val="0055635A"/>
    <w:rsid w:val="00557108"/>
    <w:rsid w:val="0055719E"/>
    <w:rsid w:val="0056121F"/>
    <w:rsid w:val="00561D45"/>
    <w:rsid w:val="00563637"/>
    <w:rsid w:val="005671A7"/>
    <w:rsid w:val="00570D86"/>
    <w:rsid w:val="00572505"/>
    <w:rsid w:val="0058167F"/>
    <w:rsid w:val="00581993"/>
    <w:rsid w:val="00582809"/>
    <w:rsid w:val="0058318F"/>
    <w:rsid w:val="0058342B"/>
    <w:rsid w:val="0058798C"/>
    <w:rsid w:val="005900FA"/>
    <w:rsid w:val="005935A4"/>
    <w:rsid w:val="005948C2"/>
    <w:rsid w:val="00595DCA"/>
    <w:rsid w:val="005973B4"/>
    <w:rsid w:val="0059779B"/>
    <w:rsid w:val="005A17CF"/>
    <w:rsid w:val="005A209A"/>
    <w:rsid w:val="005A2C57"/>
    <w:rsid w:val="005A3A02"/>
    <w:rsid w:val="005A55EA"/>
    <w:rsid w:val="005A662D"/>
    <w:rsid w:val="005A77B9"/>
    <w:rsid w:val="005B25AE"/>
    <w:rsid w:val="005B35D7"/>
    <w:rsid w:val="005B392A"/>
    <w:rsid w:val="005B3AA3"/>
    <w:rsid w:val="005B5A15"/>
    <w:rsid w:val="005B606C"/>
    <w:rsid w:val="005B64C3"/>
    <w:rsid w:val="005B6F83"/>
    <w:rsid w:val="005B7620"/>
    <w:rsid w:val="005C0B23"/>
    <w:rsid w:val="005C1BA7"/>
    <w:rsid w:val="005C3333"/>
    <w:rsid w:val="005C74FB"/>
    <w:rsid w:val="005D1602"/>
    <w:rsid w:val="005D5B80"/>
    <w:rsid w:val="005D5BB7"/>
    <w:rsid w:val="005D7E92"/>
    <w:rsid w:val="005E2BAF"/>
    <w:rsid w:val="005E3220"/>
    <w:rsid w:val="005E385F"/>
    <w:rsid w:val="005E3B53"/>
    <w:rsid w:val="005E3C1B"/>
    <w:rsid w:val="005E52CB"/>
    <w:rsid w:val="005E5B81"/>
    <w:rsid w:val="005E6827"/>
    <w:rsid w:val="005E7631"/>
    <w:rsid w:val="005F11AB"/>
    <w:rsid w:val="005F2897"/>
    <w:rsid w:val="005F2CB1"/>
    <w:rsid w:val="005F3025"/>
    <w:rsid w:val="005F34FB"/>
    <w:rsid w:val="005F4070"/>
    <w:rsid w:val="005F4B1D"/>
    <w:rsid w:val="005F618C"/>
    <w:rsid w:val="005F70BD"/>
    <w:rsid w:val="0060283C"/>
    <w:rsid w:val="0060316E"/>
    <w:rsid w:val="00603CAF"/>
    <w:rsid w:val="00604D02"/>
    <w:rsid w:val="00604F14"/>
    <w:rsid w:val="00605F62"/>
    <w:rsid w:val="00611B83"/>
    <w:rsid w:val="00613257"/>
    <w:rsid w:val="0061724A"/>
    <w:rsid w:val="00617A18"/>
    <w:rsid w:val="00617BED"/>
    <w:rsid w:val="00620A71"/>
    <w:rsid w:val="00620D80"/>
    <w:rsid w:val="00622502"/>
    <w:rsid w:val="006234A6"/>
    <w:rsid w:val="0062491B"/>
    <w:rsid w:val="00624D23"/>
    <w:rsid w:val="00630001"/>
    <w:rsid w:val="00630CCE"/>
    <w:rsid w:val="00631139"/>
    <w:rsid w:val="006311B3"/>
    <w:rsid w:val="006316E1"/>
    <w:rsid w:val="0063284C"/>
    <w:rsid w:val="00636398"/>
    <w:rsid w:val="006368D3"/>
    <w:rsid w:val="006377EC"/>
    <w:rsid w:val="0063792B"/>
    <w:rsid w:val="0064090E"/>
    <w:rsid w:val="00640BD3"/>
    <w:rsid w:val="0064151F"/>
    <w:rsid w:val="00641533"/>
    <w:rsid w:val="0064208D"/>
    <w:rsid w:val="006425C6"/>
    <w:rsid w:val="00643475"/>
    <w:rsid w:val="0064396A"/>
    <w:rsid w:val="0064624E"/>
    <w:rsid w:val="006465BC"/>
    <w:rsid w:val="00650AB9"/>
    <w:rsid w:val="00655466"/>
    <w:rsid w:val="00655733"/>
    <w:rsid w:val="00655A22"/>
    <w:rsid w:val="00655ACD"/>
    <w:rsid w:val="00656A92"/>
    <w:rsid w:val="00656DDE"/>
    <w:rsid w:val="0066011D"/>
    <w:rsid w:val="006607C0"/>
    <w:rsid w:val="006613A6"/>
    <w:rsid w:val="006627A2"/>
    <w:rsid w:val="006634E6"/>
    <w:rsid w:val="00663686"/>
    <w:rsid w:val="006655EE"/>
    <w:rsid w:val="00667EE7"/>
    <w:rsid w:val="00670922"/>
    <w:rsid w:val="00670BE1"/>
    <w:rsid w:val="0067218F"/>
    <w:rsid w:val="006741F2"/>
    <w:rsid w:val="00674A25"/>
    <w:rsid w:val="00674CC3"/>
    <w:rsid w:val="00675C72"/>
    <w:rsid w:val="00675F65"/>
    <w:rsid w:val="006771F9"/>
    <w:rsid w:val="006776D7"/>
    <w:rsid w:val="00681003"/>
    <w:rsid w:val="006817C9"/>
    <w:rsid w:val="006835E3"/>
    <w:rsid w:val="00683ECE"/>
    <w:rsid w:val="0069133C"/>
    <w:rsid w:val="006934A8"/>
    <w:rsid w:val="006938BB"/>
    <w:rsid w:val="00695FC2"/>
    <w:rsid w:val="00696949"/>
    <w:rsid w:val="00697052"/>
    <w:rsid w:val="006974A0"/>
    <w:rsid w:val="006A1E71"/>
    <w:rsid w:val="006A3F40"/>
    <w:rsid w:val="006A46FB"/>
    <w:rsid w:val="006A5E28"/>
    <w:rsid w:val="006A697B"/>
    <w:rsid w:val="006A7AFF"/>
    <w:rsid w:val="006B1816"/>
    <w:rsid w:val="006B1A39"/>
    <w:rsid w:val="006B2099"/>
    <w:rsid w:val="006B30AF"/>
    <w:rsid w:val="006B39F6"/>
    <w:rsid w:val="006B50CF"/>
    <w:rsid w:val="006B6560"/>
    <w:rsid w:val="006C03B8"/>
    <w:rsid w:val="006C25DD"/>
    <w:rsid w:val="006C5EC9"/>
    <w:rsid w:val="006C6059"/>
    <w:rsid w:val="006C701E"/>
    <w:rsid w:val="006C7391"/>
    <w:rsid w:val="006C7522"/>
    <w:rsid w:val="006D3EEF"/>
    <w:rsid w:val="006D6F08"/>
    <w:rsid w:val="006E062C"/>
    <w:rsid w:val="006E28B7"/>
    <w:rsid w:val="006E3310"/>
    <w:rsid w:val="006E4C28"/>
    <w:rsid w:val="006E4E39"/>
    <w:rsid w:val="006E565E"/>
    <w:rsid w:val="006E673D"/>
    <w:rsid w:val="006E7D3B"/>
    <w:rsid w:val="006F1B70"/>
    <w:rsid w:val="006F341D"/>
    <w:rsid w:val="006F3CDE"/>
    <w:rsid w:val="006F58D4"/>
    <w:rsid w:val="007001F0"/>
    <w:rsid w:val="007032B8"/>
    <w:rsid w:val="0070346E"/>
    <w:rsid w:val="00704EDB"/>
    <w:rsid w:val="0070537F"/>
    <w:rsid w:val="00705BC2"/>
    <w:rsid w:val="00705C78"/>
    <w:rsid w:val="00706101"/>
    <w:rsid w:val="00707072"/>
    <w:rsid w:val="007075A7"/>
    <w:rsid w:val="00707D61"/>
    <w:rsid w:val="00711C83"/>
    <w:rsid w:val="00712287"/>
    <w:rsid w:val="00712772"/>
    <w:rsid w:val="00713470"/>
    <w:rsid w:val="007148D3"/>
    <w:rsid w:val="00715648"/>
    <w:rsid w:val="00715B9A"/>
    <w:rsid w:val="00715DF1"/>
    <w:rsid w:val="0071636B"/>
    <w:rsid w:val="007200F3"/>
    <w:rsid w:val="00721593"/>
    <w:rsid w:val="00724E76"/>
    <w:rsid w:val="0072595C"/>
    <w:rsid w:val="00726EA6"/>
    <w:rsid w:val="00727208"/>
    <w:rsid w:val="00727680"/>
    <w:rsid w:val="00727F0A"/>
    <w:rsid w:val="00727F9E"/>
    <w:rsid w:val="0073229F"/>
    <w:rsid w:val="00733C46"/>
    <w:rsid w:val="007348B1"/>
    <w:rsid w:val="00734B23"/>
    <w:rsid w:val="00734F0A"/>
    <w:rsid w:val="007362A6"/>
    <w:rsid w:val="00736D7D"/>
    <w:rsid w:val="00737922"/>
    <w:rsid w:val="007403BD"/>
    <w:rsid w:val="00740E58"/>
    <w:rsid w:val="00742E7B"/>
    <w:rsid w:val="007445A0"/>
    <w:rsid w:val="0074524B"/>
    <w:rsid w:val="00747BA2"/>
    <w:rsid w:val="00747D8B"/>
    <w:rsid w:val="00751228"/>
    <w:rsid w:val="00751613"/>
    <w:rsid w:val="00752C9C"/>
    <w:rsid w:val="00754E56"/>
    <w:rsid w:val="00755562"/>
    <w:rsid w:val="00755CB6"/>
    <w:rsid w:val="007560C0"/>
    <w:rsid w:val="007571E1"/>
    <w:rsid w:val="007604B2"/>
    <w:rsid w:val="007607BF"/>
    <w:rsid w:val="00765281"/>
    <w:rsid w:val="00766BAD"/>
    <w:rsid w:val="007730BD"/>
    <w:rsid w:val="00773D09"/>
    <w:rsid w:val="00774743"/>
    <w:rsid w:val="007755F2"/>
    <w:rsid w:val="0077666A"/>
    <w:rsid w:val="00776971"/>
    <w:rsid w:val="0078008D"/>
    <w:rsid w:val="0078020D"/>
    <w:rsid w:val="0078177E"/>
    <w:rsid w:val="0078304C"/>
    <w:rsid w:val="00783344"/>
    <w:rsid w:val="00783673"/>
    <w:rsid w:val="00785490"/>
    <w:rsid w:val="0078648D"/>
    <w:rsid w:val="00787795"/>
    <w:rsid w:val="007925EA"/>
    <w:rsid w:val="00793CD8"/>
    <w:rsid w:val="00794A88"/>
    <w:rsid w:val="00795C38"/>
    <w:rsid w:val="00795C92"/>
    <w:rsid w:val="00796231"/>
    <w:rsid w:val="007A0227"/>
    <w:rsid w:val="007A17FD"/>
    <w:rsid w:val="007A1CB3"/>
    <w:rsid w:val="007A306F"/>
    <w:rsid w:val="007A43A6"/>
    <w:rsid w:val="007A58A6"/>
    <w:rsid w:val="007A62D0"/>
    <w:rsid w:val="007A737E"/>
    <w:rsid w:val="007B1DBB"/>
    <w:rsid w:val="007B3D2D"/>
    <w:rsid w:val="007B50AE"/>
    <w:rsid w:val="007B51DF"/>
    <w:rsid w:val="007B5600"/>
    <w:rsid w:val="007B5EB3"/>
    <w:rsid w:val="007B7232"/>
    <w:rsid w:val="007B733D"/>
    <w:rsid w:val="007C05DD"/>
    <w:rsid w:val="007C2287"/>
    <w:rsid w:val="007C3D18"/>
    <w:rsid w:val="007C4414"/>
    <w:rsid w:val="007C60BF"/>
    <w:rsid w:val="007C6A07"/>
    <w:rsid w:val="007C73D5"/>
    <w:rsid w:val="007C75A1"/>
    <w:rsid w:val="007C77A5"/>
    <w:rsid w:val="007C77C9"/>
    <w:rsid w:val="007D04E5"/>
    <w:rsid w:val="007D0E4A"/>
    <w:rsid w:val="007D5901"/>
    <w:rsid w:val="007D7526"/>
    <w:rsid w:val="007E0E28"/>
    <w:rsid w:val="007E0F30"/>
    <w:rsid w:val="007E1D21"/>
    <w:rsid w:val="007E4610"/>
    <w:rsid w:val="007E4715"/>
    <w:rsid w:val="007E505B"/>
    <w:rsid w:val="007E7091"/>
    <w:rsid w:val="007F3049"/>
    <w:rsid w:val="007F517D"/>
    <w:rsid w:val="007F5624"/>
    <w:rsid w:val="00803FAE"/>
    <w:rsid w:val="00805AF5"/>
    <w:rsid w:val="0080605F"/>
    <w:rsid w:val="00807786"/>
    <w:rsid w:val="00811FCB"/>
    <w:rsid w:val="008158D6"/>
    <w:rsid w:val="00816FAA"/>
    <w:rsid w:val="008170C5"/>
    <w:rsid w:val="00817196"/>
    <w:rsid w:val="008215F4"/>
    <w:rsid w:val="008235DB"/>
    <w:rsid w:val="0082449C"/>
    <w:rsid w:val="00824A6E"/>
    <w:rsid w:val="00824AB4"/>
    <w:rsid w:val="00825C42"/>
    <w:rsid w:val="00825D25"/>
    <w:rsid w:val="00827D6F"/>
    <w:rsid w:val="00834EE5"/>
    <w:rsid w:val="008376AC"/>
    <w:rsid w:val="008413F7"/>
    <w:rsid w:val="008435D0"/>
    <w:rsid w:val="008444E8"/>
    <w:rsid w:val="00844E80"/>
    <w:rsid w:val="00846FE7"/>
    <w:rsid w:val="008472AC"/>
    <w:rsid w:val="008477DC"/>
    <w:rsid w:val="008507B6"/>
    <w:rsid w:val="00850CEC"/>
    <w:rsid w:val="0085274B"/>
    <w:rsid w:val="00856911"/>
    <w:rsid w:val="00856922"/>
    <w:rsid w:val="00857359"/>
    <w:rsid w:val="00860BEB"/>
    <w:rsid w:val="008677FD"/>
    <w:rsid w:val="008706D4"/>
    <w:rsid w:val="00870F8A"/>
    <w:rsid w:val="008719A4"/>
    <w:rsid w:val="00871D23"/>
    <w:rsid w:val="0087404E"/>
    <w:rsid w:val="00874244"/>
    <w:rsid w:val="00874312"/>
    <w:rsid w:val="0087437C"/>
    <w:rsid w:val="00875CD7"/>
    <w:rsid w:val="008760E0"/>
    <w:rsid w:val="00876B4D"/>
    <w:rsid w:val="00877F18"/>
    <w:rsid w:val="00881274"/>
    <w:rsid w:val="00886C80"/>
    <w:rsid w:val="00887566"/>
    <w:rsid w:val="008931EA"/>
    <w:rsid w:val="00894A88"/>
    <w:rsid w:val="008952BD"/>
    <w:rsid w:val="00895386"/>
    <w:rsid w:val="0089611D"/>
    <w:rsid w:val="00896339"/>
    <w:rsid w:val="00896D7D"/>
    <w:rsid w:val="008A21FF"/>
    <w:rsid w:val="008A2CE2"/>
    <w:rsid w:val="008A2DA6"/>
    <w:rsid w:val="008A30AC"/>
    <w:rsid w:val="008A44B8"/>
    <w:rsid w:val="008A51A8"/>
    <w:rsid w:val="008A54C7"/>
    <w:rsid w:val="008A77D8"/>
    <w:rsid w:val="008A7912"/>
    <w:rsid w:val="008B0483"/>
    <w:rsid w:val="008B120C"/>
    <w:rsid w:val="008B5104"/>
    <w:rsid w:val="008B51A0"/>
    <w:rsid w:val="008B592A"/>
    <w:rsid w:val="008B6D83"/>
    <w:rsid w:val="008B7B5C"/>
    <w:rsid w:val="008C0C99"/>
    <w:rsid w:val="008C1A53"/>
    <w:rsid w:val="008C2017"/>
    <w:rsid w:val="008C394C"/>
    <w:rsid w:val="008C4958"/>
    <w:rsid w:val="008C4BAA"/>
    <w:rsid w:val="008C6AE8"/>
    <w:rsid w:val="008C7573"/>
    <w:rsid w:val="008D0AEB"/>
    <w:rsid w:val="008D34F1"/>
    <w:rsid w:val="008D39D8"/>
    <w:rsid w:val="008D52BA"/>
    <w:rsid w:val="008D5D77"/>
    <w:rsid w:val="008D5F09"/>
    <w:rsid w:val="008D6D1A"/>
    <w:rsid w:val="008E065E"/>
    <w:rsid w:val="008E0927"/>
    <w:rsid w:val="008E1909"/>
    <w:rsid w:val="008E1A58"/>
    <w:rsid w:val="008E3313"/>
    <w:rsid w:val="008E5153"/>
    <w:rsid w:val="008E5C9C"/>
    <w:rsid w:val="008E6846"/>
    <w:rsid w:val="008E79C5"/>
    <w:rsid w:val="008F0AE4"/>
    <w:rsid w:val="008F169D"/>
    <w:rsid w:val="008F1E0F"/>
    <w:rsid w:val="008F1EAB"/>
    <w:rsid w:val="008F33DC"/>
    <w:rsid w:val="008F477F"/>
    <w:rsid w:val="008F7ADA"/>
    <w:rsid w:val="00900E26"/>
    <w:rsid w:val="009020BE"/>
    <w:rsid w:val="00902350"/>
    <w:rsid w:val="0090336B"/>
    <w:rsid w:val="00903AF6"/>
    <w:rsid w:val="009053AA"/>
    <w:rsid w:val="00905EB9"/>
    <w:rsid w:val="0090659A"/>
    <w:rsid w:val="00906939"/>
    <w:rsid w:val="00910B7D"/>
    <w:rsid w:val="00911DFB"/>
    <w:rsid w:val="009139D9"/>
    <w:rsid w:val="00913AFB"/>
    <w:rsid w:val="00913B51"/>
    <w:rsid w:val="00914AD8"/>
    <w:rsid w:val="00914D69"/>
    <w:rsid w:val="00916079"/>
    <w:rsid w:val="00917CE9"/>
    <w:rsid w:val="00920BF2"/>
    <w:rsid w:val="00921DD2"/>
    <w:rsid w:val="00922010"/>
    <w:rsid w:val="00927BC5"/>
    <w:rsid w:val="009314D5"/>
    <w:rsid w:val="00931BD9"/>
    <w:rsid w:val="00932CDA"/>
    <w:rsid w:val="0093322C"/>
    <w:rsid w:val="009332F6"/>
    <w:rsid w:val="009368F3"/>
    <w:rsid w:val="00936F09"/>
    <w:rsid w:val="00941636"/>
    <w:rsid w:val="00943742"/>
    <w:rsid w:val="00945C05"/>
    <w:rsid w:val="00946945"/>
    <w:rsid w:val="00947713"/>
    <w:rsid w:val="00950017"/>
    <w:rsid w:val="00950DE7"/>
    <w:rsid w:val="00950E27"/>
    <w:rsid w:val="00953920"/>
    <w:rsid w:val="00953D47"/>
    <w:rsid w:val="0095681E"/>
    <w:rsid w:val="009572D4"/>
    <w:rsid w:val="00957FFB"/>
    <w:rsid w:val="00961921"/>
    <w:rsid w:val="00961B10"/>
    <w:rsid w:val="00961C3F"/>
    <w:rsid w:val="0096430A"/>
    <w:rsid w:val="0096554B"/>
    <w:rsid w:val="0096584A"/>
    <w:rsid w:val="00967B1C"/>
    <w:rsid w:val="00971F08"/>
    <w:rsid w:val="00972FEB"/>
    <w:rsid w:val="0097603D"/>
    <w:rsid w:val="00976949"/>
    <w:rsid w:val="00980477"/>
    <w:rsid w:val="00980E0D"/>
    <w:rsid w:val="00981A97"/>
    <w:rsid w:val="009823E9"/>
    <w:rsid w:val="00985253"/>
    <w:rsid w:val="009853B3"/>
    <w:rsid w:val="00990630"/>
    <w:rsid w:val="00990A30"/>
    <w:rsid w:val="00991761"/>
    <w:rsid w:val="00994DCA"/>
    <w:rsid w:val="009960EC"/>
    <w:rsid w:val="009970DD"/>
    <w:rsid w:val="009A024F"/>
    <w:rsid w:val="009A0FBA"/>
    <w:rsid w:val="009A1601"/>
    <w:rsid w:val="009A2C6C"/>
    <w:rsid w:val="009A462D"/>
    <w:rsid w:val="009A53A3"/>
    <w:rsid w:val="009A5CBA"/>
    <w:rsid w:val="009A6553"/>
    <w:rsid w:val="009A7536"/>
    <w:rsid w:val="009A79F8"/>
    <w:rsid w:val="009B1DED"/>
    <w:rsid w:val="009B1F30"/>
    <w:rsid w:val="009B226F"/>
    <w:rsid w:val="009B3AC2"/>
    <w:rsid w:val="009B4DF4"/>
    <w:rsid w:val="009B564E"/>
    <w:rsid w:val="009B7E87"/>
    <w:rsid w:val="009C2637"/>
    <w:rsid w:val="009C403E"/>
    <w:rsid w:val="009D1FE8"/>
    <w:rsid w:val="009D2B94"/>
    <w:rsid w:val="009D40E7"/>
    <w:rsid w:val="009D4FF0"/>
    <w:rsid w:val="009D6F86"/>
    <w:rsid w:val="009D703C"/>
    <w:rsid w:val="009D718F"/>
    <w:rsid w:val="009D7877"/>
    <w:rsid w:val="009E068F"/>
    <w:rsid w:val="009E14E0"/>
    <w:rsid w:val="009E308A"/>
    <w:rsid w:val="009E35DB"/>
    <w:rsid w:val="009E47A3"/>
    <w:rsid w:val="009E4942"/>
    <w:rsid w:val="009E67CE"/>
    <w:rsid w:val="009F08F3"/>
    <w:rsid w:val="009F344F"/>
    <w:rsid w:val="009F5C26"/>
    <w:rsid w:val="00A00895"/>
    <w:rsid w:val="00A04259"/>
    <w:rsid w:val="00A048A8"/>
    <w:rsid w:val="00A04F49"/>
    <w:rsid w:val="00A078FE"/>
    <w:rsid w:val="00A11077"/>
    <w:rsid w:val="00A13E54"/>
    <w:rsid w:val="00A14B31"/>
    <w:rsid w:val="00A17094"/>
    <w:rsid w:val="00A17F63"/>
    <w:rsid w:val="00A2193B"/>
    <w:rsid w:val="00A21D52"/>
    <w:rsid w:val="00A22A64"/>
    <w:rsid w:val="00A2351A"/>
    <w:rsid w:val="00A264A9"/>
    <w:rsid w:val="00A26831"/>
    <w:rsid w:val="00A27785"/>
    <w:rsid w:val="00A30187"/>
    <w:rsid w:val="00A30A42"/>
    <w:rsid w:val="00A32EF8"/>
    <w:rsid w:val="00A33ABC"/>
    <w:rsid w:val="00A3448A"/>
    <w:rsid w:val="00A346DA"/>
    <w:rsid w:val="00A34CCD"/>
    <w:rsid w:val="00A36297"/>
    <w:rsid w:val="00A37392"/>
    <w:rsid w:val="00A41E2B"/>
    <w:rsid w:val="00A436D5"/>
    <w:rsid w:val="00A45B74"/>
    <w:rsid w:val="00A47522"/>
    <w:rsid w:val="00A47863"/>
    <w:rsid w:val="00A52E1D"/>
    <w:rsid w:val="00A6087E"/>
    <w:rsid w:val="00A61499"/>
    <w:rsid w:val="00A62A77"/>
    <w:rsid w:val="00A63483"/>
    <w:rsid w:val="00A63D6A"/>
    <w:rsid w:val="00A657D7"/>
    <w:rsid w:val="00A660AC"/>
    <w:rsid w:val="00A66C51"/>
    <w:rsid w:val="00A67703"/>
    <w:rsid w:val="00A67E6C"/>
    <w:rsid w:val="00A71B99"/>
    <w:rsid w:val="00A7242D"/>
    <w:rsid w:val="00A739D0"/>
    <w:rsid w:val="00A74922"/>
    <w:rsid w:val="00A761D4"/>
    <w:rsid w:val="00A76977"/>
    <w:rsid w:val="00A77EC4"/>
    <w:rsid w:val="00A80543"/>
    <w:rsid w:val="00A81D38"/>
    <w:rsid w:val="00A87C47"/>
    <w:rsid w:val="00A92879"/>
    <w:rsid w:val="00A93964"/>
    <w:rsid w:val="00A9442A"/>
    <w:rsid w:val="00A9596D"/>
    <w:rsid w:val="00A95BBC"/>
    <w:rsid w:val="00AA0139"/>
    <w:rsid w:val="00AA016F"/>
    <w:rsid w:val="00AA1ED6"/>
    <w:rsid w:val="00AA3632"/>
    <w:rsid w:val="00AA377D"/>
    <w:rsid w:val="00AA51D6"/>
    <w:rsid w:val="00AB0BC8"/>
    <w:rsid w:val="00AB11CA"/>
    <w:rsid w:val="00AB14D9"/>
    <w:rsid w:val="00AB1B31"/>
    <w:rsid w:val="00AB1BA6"/>
    <w:rsid w:val="00AB2350"/>
    <w:rsid w:val="00AB4AB8"/>
    <w:rsid w:val="00AB5233"/>
    <w:rsid w:val="00AB5E59"/>
    <w:rsid w:val="00AB655E"/>
    <w:rsid w:val="00AB78CD"/>
    <w:rsid w:val="00AC007F"/>
    <w:rsid w:val="00AC20C3"/>
    <w:rsid w:val="00AC2E25"/>
    <w:rsid w:val="00AC2ECD"/>
    <w:rsid w:val="00AC3119"/>
    <w:rsid w:val="00AC49FB"/>
    <w:rsid w:val="00AC55DA"/>
    <w:rsid w:val="00AC5A10"/>
    <w:rsid w:val="00AC5FFA"/>
    <w:rsid w:val="00AC635E"/>
    <w:rsid w:val="00AC6888"/>
    <w:rsid w:val="00AC7F70"/>
    <w:rsid w:val="00AD0AA3"/>
    <w:rsid w:val="00AD1211"/>
    <w:rsid w:val="00AD2920"/>
    <w:rsid w:val="00AD3F94"/>
    <w:rsid w:val="00AD4A5A"/>
    <w:rsid w:val="00AD4FC0"/>
    <w:rsid w:val="00AD5BC5"/>
    <w:rsid w:val="00AD5CDA"/>
    <w:rsid w:val="00AE2157"/>
    <w:rsid w:val="00AE23A9"/>
    <w:rsid w:val="00AE27AC"/>
    <w:rsid w:val="00AE40E0"/>
    <w:rsid w:val="00AE4C61"/>
    <w:rsid w:val="00AE4DBA"/>
    <w:rsid w:val="00AE4F07"/>
    <w:rsid w:val="00AE5CC2"/>
    <w:rsid w:val="00AE69FE"/>
    <w:rsid w:val="00AF1C5D"/>
    <w:rsid w:val="00AF42D7"/>
    <w:rsid w:val="00AF7C95"/>
    <w:rsid w:val="00B006FE"/>
    <w:rsid w:val="00B007CB"/>
    <w:rsid w:val="00B02AA9"/>
    <w:rsid w:val="00B02FA3"/>
    <w:rsid w:val="00B05084"/>
    <w:rsid w:val="00B06CB4"/>
    <w:rsid w:val="00B11CD2"/>
    <w:rsid w:val="00B13A6C"/>
    <w:rsid w:val="00B157F9"/>
    <w:rsid w:val="00B167F1"/>
    <w:rsid w:val="00B170AB"/>
    <w:rsid w:val="00B17572"/>
    <w:rsid w:val="00B20256"/>
    <w:rsid w:val="00B20D09"/>
    <w:rsid w:val="00B250A3"/>
    <w:rsid w:val="00B2763F"/>
    <w:rsid w:val="00B27AAC"/>
    <w:rsid w:val="00B30929"/>
    <w:rsid w:val="00B32258"/>
    <w:rsid w:val="00B3301E"/>
    <w:rsid w:val="00B336C6"/>
    <w:rsid w:val="00B372AA"/>
    <w:rsid w:val="00B376B0"/>
    <w:rsid w:val="00B40445"/>
    <w:rsid w:val="00B41888"/>
    <w:rsid w:val="00B44014"/>
    <w:rsid w:val="00B459DB"/>
    <w:rsid w:val="00B45A52"/>
    <w:rsid w:val="00B46175"/>
    <w:rsid w:val="00B47198"/>
    <w:rsid w:val="00B47A3D"/>
    <w:rsid w:val="00B539DC"/>
    <w:rsid w:val="00B6045F"/>
    <w:rsid w:val="00B61DB8"/>
    <w:rsid w:val="00B62AAA"/>
    <w:rsid w:val="00B62C25"/>
    <w:rsid w:val="00B664C7"/>
    <w:rsid w:val="00B66689"/>
    <w:rsid w:val="00B672C5"/>
    <w:rsid w:val="00B70298"/>
    <w:rsid w:val="00B7155D"/>
    <w:rsid w:val="00B72F59"/>
    <w:rsid w:val="00B739F6"/>
    <w:rsid w:val="00B746EF"/>
    <w:rsid w:val="00B7690F"/>
    <w:rsid w:val="00B8075C"/>
    <w:rsid w:val="00B81A6C"/>
    <w:rsid w:val="00B8301C"/>
    <w:rsid w:val="00B85DE5"/>
    <w:rsid w:val="00B8724B"/>
    <w:rsid w:val="00B87CD8"/>
    <w:rsid w:val="00B87FFE"/>
    <w:rsid w:val="00B90F73"/>
    <w:rsid w:val="00B93B59"/>
    <w:rsid w:val="00B9406A"/>
    <w:rsid w:val="00BA1D9F"/>
    <w:rsid w:val="00BA2280"/>
    <w:rsid w:val="00BA2A08"/>
    <w:rsid w:val="00BA56D2"/>
    <w:rsid w:val="00BA76E0"/>
    <w:rsid w:val="00BB1AB6"/>
    <w:rsid w:val="00BB1BEB"/>
    <w:rsid w:val="00BB2A25"/>
    <w:rsid w:val="00BB362F"/>
    <w:rsid w:val="00BB4C80"/>
    <w:rsid w:val="00BB51E9"/>
    <w:rsid w:val="00BC0522"/>
    <w:rsid w:val="00BC0FDC"/>
    <w:rsid w:val="00BC1273"/>
    <w:rsid w:val="00BC3053"/>
    <w:rsid w:val="00BC4D2E"/>
    <w:rsid w:val="00BC53E5"/>
    <w:rsid w:val="00BD0701"/>
    <w:rsid w:val="00BD127D"/>
    <w:rsid w:val="00BD2A1D"/>
    <w:rsid w:val="00BD344E"/>
    <w:rsid w:val="00BD48AC"/>
    <w:rsid w:val="00BD5F1A"/>
    <w:rsid w:val="00BD6748"/>
    <w:rsid w:val="00BE1234"/>
    <w:rsid w:val="00BE2FA6"/>
    <w:rsid w:val="00BE333F"/>
    <w:rsid w:val="00BE7406"/>
    <w:rsid w:val="00BE7603"/>
    <w:rsid w:val="00BF186A"/>
    <w:rsid w:val="00BF3279"/>
    <w:rsid w:val="00BF4DAC"/>
    <w:rsid w:val="00BF63B4"/>
    <w:rsid w:val="00BF6459"/>
    <w:rsid w:val="00BF74C7"/>
    <w:rsid w:val="00BF7D79"/>
    <w:rsid w:val="00BF7D8F"/>
    <w:rsid w:val="00BF7FE1"/>
    <w:rsid w:val="00C00FE0"/>
    <w:rsid w:val="00C015F1"/>
    <w:rsid w:val="00C01F33"/>
    <w:rsid w:val="00C02700"/>
    <w:rsid w:val="00C02CC6"/>
    <w:rsid w:val="00C02DB1"/>
    <w:rsid w:val="00C040F7"/>
    <w:rsid w:val="00C041B0"/>
    <w:rsid w:val="00C044AB"/>
    <w:rsid w:val="00C05706"/>
    <w:rsid w:val="00C0673C"/>
    <w:rsid w:val="00C07377"/>
    <w:rsid w:val="00C10478"/>
    <w:rsid w:val="00C12107"/>
    <w:rsid w:val="00C14D4B"/>
    <w:rsid w:val="00C154BB"/>
    <w:rsid w:val="00C17D64"/>
    <w:rsid w:val="00C20AB5"/>
    <w:rsid w:val="00C223A8"/>
    <w:rsid w:val="00C22913"/>
    <w:rsid w:val="00C275B9"/>
    <w:rsid w:val="00C279B5"/>
    <w:rsid w:val="00C27C45"/>
    <w:rsid w:val="00C31964"/>
    <w:rsid w:val="00C31A4A"/>
    <w:rsid w:val="00C34FE8"/>
    <w:rsid w:val="00C3719D"/>
    <w:rsid w:val="00C54995"/>
    <w:rsid w:val="00C54D41"/>
    <w:rsid w:val="00C577BE"/>
    <w:rsid w:val="00C60783"/>
    <w:rsid w:val="00C64672"/>
    <w:rsid w:val="00C65B1E"/>
    <w:rsid w:val="00C6745A"/>
    <w:rsid w:val="00C70697"/>
    <w:rsid w:val="00C715D4"/>
    <w:rsid w:val="00C72EF4"/>
    <w:rsid w:val="00C75D2F"/>
    <w:rsid w:val="00C767BE"/>
    <w:rsid w:val="00C76963"/>
    <w:rsid w:val="00C76C63"/>
    <w:rsid w:val="00C76E3C"/>
    <w:rsid w:val="00C77029"/>
    <w:rsid w:val="00C81568"/>
    <w:rsid w:val="00C81825"/>
    <w:rsid w:val="00C8343A"/>
    <w:rsid w:val="00C85664"/>
    <w:rsid w:val="00C9027A"/>
    <w:rsid w:val="00C9068E"/>
    <w:rsid w:val="00C91811"/>
    <w:rsid w:val="00C91A48"/>
    <w:rsid w:val="00C93C4B"/>
    <w:rsid w:val="00C944AB"/>
    <w:rsid w:val="00C9566F"/>
    <w:rsid w:val="00C95B40"/>
    <w:rsid w:val="00C978F4"/>
    <w:rsid w:val="00CA1ED8"/>
    <w:rsid w:val="00CA3F64"/>
    <w:rsid w:val="00CA4286"/>
    <w:rsid w:val="00CB1F63"/>
    <w:rsid w:val="00CB27CF"/>
    <w:rsid w:val="00CB7170"/>
    <w:rsid w:val="00CC040E"/>
    <w:rsid w:val="00CC111F"/>
    <w:rsid w:val="00CC2011"/>
    <w:rsid w:val="00CC2C7E"/>
    <w:rsid w:val="00CC322D"/>
    <w:rsid w:val="00CC3EA0"/>
    <w:rsid w:val="00CC7B45"/>
    <w:rsid w:val="00CD1188"/>
    <w:rsid w:val="00CD16E9"/>
    <w:rsid w:val="00CD1AC5"/>
    <w:rsid w:val="00CD2ED1"/>
    <w:rsid w:val="00CD337B"/>
    <w:rsid w:val="00CD45E7"/>
    <w:rsid w:val="00CE0424"/>
    <w:rsid w:val="00CE7561"/>
    <w:rsid w:val="00CE7603"/>
    <w:rsid w:val="00CF050B"/>
    <w:rsid w:val="00CF100F"/>
    <w:rsid w:val="00CF1354"/>
    <w:rsid w:val="00CF3B1F"/>
    <w:rsid w:val="00CF3BF6"/>
    <w:rsid w:val="00CF625B"/>
    <w:rsid w:val="00CF687E"/>
    <w:rsid w:val="00D0349B"/>
    <w:rsid w:val="00D04434"/>
    <w:rsid w:val="00D04570"/>
    <w:rsid w:val="00D04FDB"/>
    <w:rsid w:val="00D060F6"/>
    <w:rsid w:val="00D06AC6"/>
    <w:rsid w:val="00D10249"/>
    <w:rsid w:val="00D115C3"/>
    <w:rsid w:val="00D11897"/>
    <w:rsid w:val="00D11D37"/>
    <w:rsid w:val="00D1241A"/>
    <w:rsid w:val="00D130C0"/>
    <w:rsid w:val="00D13135"/>
    <w:rsid w:val="00D132C9"/>
    <w:rsid w:val="00D13E4E"/>
    <w:rsid w:val="00D15300"/>
    <w:rsid w:val="00D20106"/>
    <w:rsid w:val="00D2214C"/>
    <w:rsid w:val="00D239A7"/>
    <w:rsid w:val="00D23F47"/>
    <w:rsid w:val="00D247FF"/>
    <w:rsid w:val="00D26B46"/>
    <w:rsid w:val="00D27CC3"/>
    <w:rsid w:val="00D3005B"/>
    <w:rsid w:val="00D3176C"/>
    <w:rsid w:val="00D31F48"/>
    <w:rsid w:val="00D33AED"/>
    <w:rsid w:val="00D34ABC"/>
    <w:rsid w:val="00D350EB"/>
    <w:rsid w:val="00D367AF"/>
    <w:rsid w:val="00D36E71"/>
    <w:rsid w:val="00D37D87"/>
    <w:rsid w:val="00D40915"/>
    <w:rsid w:val="00D40B33"/>
    <w:rsid w:val="00D419E4"/>
    <w:rsid w:val="00D4318F"/>
    <w:rsid w:val="00D438BF"/>
    <w:rsid w:val="00D440F8"/>
    <w:rsid w:val="00D44BA8"/>
    <w:rsid w:val="00D46F72"/>
    <w:rsid w:val="00D47081"/>
    <w:rsid w:val="00D509D3"/>
    <w:rsid w:val="00D51F0C"/>
    <w:rsid w:val="00D546FF"/>
    <w:rsid w:val="00D55AD5"/>
    <w:rsid w:val="00D576CA"/>
    <w:rsid w:val="00D5778B"/>
    <w:rsid w:val="00D579D0"/>
    <w:rsid w:val="00D60E13"/>
    <w:rsid w:val="00D61AF5"/>
    <w:rsid w:val="00D62CD5"/>
    <w:rsid w:val="00D6435F"/>
    <w:rsid w:val="00D652B5"/>
    <w:rsid w:val="00D66155"/>
    <w:rsid w:val="00D708B0"/>
    <w:rsid w:val="00D72E42"/>
    <w:rsid w:val="00D73F81"/>
    <w:rsid w:val="00D75C8E"/>
    <w:rsid w:val="00D77B1D"/>
    <w:rsid w:val="00D8021F"/>
    <w:rsid w:val="00D80383"/>
    <w:rsid w:val="00D823C6"/>
    <w:rsid w:val="00D82CB4"/>
    <w:rsid w:val="00D8424C"/>
    <w:rsid w:val="00D84D28"/>
    <w:rsid w:val="00D86202"/>
    <w:rsid w:val="00D86CA3"/>
    <w:rsid w:val="00D871CE"/>
    <w:rsid w:val="00D9196D"/>
    <w:rsid w:val="00D92982"/>
    <w:rsid w:val="00D95036"/>
    <w:rsid w:val="00D95657"/>
    <w:rsid w:val="00D9687C"/>
    <w:rsid w:val="00DA06F3"/>
    <w:rsid w:val="00DA305E"/>
    <w:rsid w:val="00DA32BE"/>
    <w:rsid w:val="00DA5007"/>
    <w:rsid w:val="00DA5417"/>
    <w:rsid w:val="00DA56E8"/>
    <w:rsid w:val="00DB09F6"/>
    <w:rsid w:val="00DB0A9F"/>
    <w:rsid w:val="00DB26FC"/>
    <w:rsid w:val="00DB2A5F"/>
    <w:rsid w:val="00DB377D"/>
    <w:rsid w:val="00DB5696"/>
    <w:rsid w:val="00DC2140"/>
    <w:rsid w:val="00DC2D36"/>
    <w:rsid w:val="00DC4F42"/>
    <w:rsid w:val="00DC53EF"/>
    <w:rsid w:val="00DC7D8F"/>
    <w:rsid w:val="00DD39D5"/>
    <w:rsid w:val="00DD569D"/>
    <w:rsid w:val="00DD58EE"/>
    <w:rsid w:val="00DD739C"/>
    <w:rsid w:val="00DE17FB"/>
    <w:rsid w:val="00DE18FE"/>
    <w:rsid w:val="00DE4478"/>
    <w:rsid w:val="00DE5608"/>
    <w:rsid w:val="00DE58D0"/>
    <w:rsid w:val="00DE5C7E"/>
    <w:rsid w:val="00DE654F"/>
    <w:rsid w:val="00DF0B6E"/>
    <w:rsid w:val="00DF15E0"/>
    <w:rsid w:val="00DF37A0"/>
    <w:rsid w:val="00DF6444"/>
    <w:rsid w:val="00DF7FBA"/>
    <w:rsid w:val="00E00191"/>
    <w:rsid w:val="00E0097E"/>
    <w:rsid w:val="00E0243A"/>
    <w:rsid w:val="00E106F5"/>
    <w:rsid w:val="00E110E7"/>
    <w:rsid w:val="00E11B20"/>
    <w:rsid w:val="00E17FA2"/>
    <w:rsid w:val="00E215AA"/>
    <w:rsid w:val="00E22330"/>
    <w:rsid w:val="00E24FF0"/>
    <w:rsid w:val="00E30B5A"/>
    <w:rsid w:val="00E3119D"/>
    <w:rsid w:val="00E3123D"/>
    <w:rsid w:val="00E31461"/>
    <w:rsid w:val="00E315F2"/>
    <w:rsid w:val="00E31690"/>
    <w:rsid w:val="00E31D43"/>
    <w:rsid w:val="00E32608"/>
    <w:rsid w:val="00E326AD"/>
    <w:rsid w:val="00E3309F"/>
    <w:rsid w:val="00E34188"/>
    <w:rsid w:val="00E345CD"/>
    <w:rsid w:val="00E34A3A"/>
    <w:rsid w:val="00E34B6E"/>
    <w:rsid w:val="00E35559"/>
    <w:rsid w:val="00E3723A"/>
    <w:rsid w:val="00E37860"/>
    <w:rsid w:val="00E37D8C"/>
    <w:rsid w:val="00E413E2"/>
    <w:rsid w:val="00E446F1"/>
    <w:rsid w:val="00E46886"/>
    <w:rsid w:val="00E4782A"/>
    <w:rsid w:val="00E47AEF"/>
    <w:rsid w:val="00E528F4"/>
    <w:rsid w:val="00E53B48"/>
    <w:rsid w:val="00E53B75"/>
    <w:rsid w:val="00E5480D"/>
    <w:rsid w:val="00E54E3B"/>
    <w:rsid w:val="00E56923"/>
    <w:rsid w:val="00E57565"/>
    <w:rsid w:val="00E63838"/>
    <w:rsid w:val="00E64434"/>
    <w:rsid w:val="00E64CF3"/>
    <w:rsid w:val="00E66999"/>
    <w:rsid w:val="00E67C51"/>
    <w:rsid w:val="00E72EFC"/>
    <w:rsid w:val="00E758EC"/>
    <w:rsid w:val="00E81189"/>
    <w:rsid w:val="00E81D94"/>
    <w:rsid w:val="00E8234C"/>
    <w:rsid w:val="00E83AA9"/>
    <w:rsid w:val="00E85928"/>
    <w:rsid w:val="00E87822"/>
    <w:rsid w:val="00E90395"/>
    <w:rsid w:val="00E90E49"/>
    <w:rsid w:val="00E917F9"/>
    <w:rsid w:val="00E9291C"/>
    <w:rsid w:val="00E93FFE"/>
    <w:rsid w:val="00E94F8A"/>
    <w:rsid w:val="00E95523"/>
    <w:rsid w:val="00E967EE"/>
    <w:rsid w:val="00E968C7"/>
    <w:rsid w:val="00E97ACD"/>
    <w:rsid w:val="00EA1F8D"/>
    <w:rsid w:val="00EA3F20"/>
    <w:rsid w:val="00EA3F61"/>
    <w:rsid w:val="00EA4310"/>
    <w:rsid w:val="00EA4D55"/>
    <w:rsid w:val="00EA78D3"/>
    <w:rsid w:val="00EA7A41"/>
    <w:rsid w:val="00EB077B"/>
    <w:rsid w:val="00EB21D0"/>
    <w:rsid w:val="00EB2EB5"/>
    <w:rsid w:val="00EB3981"/>
    <w:rsid w:val="00EB4892"/>
    <w:rsid w:val="00EB4EA2"/>
    <w:rsid w:val="00EB6D5D"/>
    <w:rsid w:val="00EB707A"/>
    <w:rsid w:val="00EB72D5"/>
    <w:rsid w:val="00EC27C6"/>
    <w:rsid w:val="00EC4207"/>
    <w:rsid w:val="00EC439D"/>
    <w:rsid w:val="00EC5479"/>
    <w:rsid w:val="00EC54AB"/>
    <w:rsid w:val="00EC5653"/>
    <w:rsid w:val="00EC60B5"/>
    <w:rsid w:val="00EC71CE"/>
    <w:rsid w:val="00ED1006"/>
    <w:rsid w:val="00ED3EFF"/>
    <w:rsid w:val="00ED5B4C"/>
    <w:rsid w:val="00ED5EDB"/>
    <w:rsid w:val="00ED605D"/>
    <w:rsid w:val="00EE3501"/>
    <w:rsid w:val="00EE42C9"/>
    <w:rsid w:val="00EE5985"/>
    <w:rsid w:val="00EE5C1E"/>
    <w:rsid w:val="00EE7253"/>
    <w:rsid w:val="00EE76C9"/>
    <w:rsid w:val="00EF18FE"/>
    <w:rsid w:val="00EF5787"/>
    <w:rsid w:val="00EF60D0"/>
    <w:rsid w:val="00F00296"/>
    <w:rsid w:val="00F011C5"/>
    <w:rsid w:val="00F0528D"/>
    <w:rsid w:val="00F067A4"/>
    <w:rsid w:val="00F06C67"/>
    <w:rsid w:val="00F06DFD"/>
    <w:rsid w:val="00F06E06"/>
    <w:rsid w:val="00F071D1"/>
    <w:rsid w:val="00F07533"/>
    <w:rsid w:val="00F10448"/>
    <w:rsid w:val="00F10616"/>
    <w:rsid w:val="00F10629"/>
    <w:rsid w:val="00F11001"/>
    <w:rsid w:val="00F158C9"/>
    <w:rsid w:val="00F15A2A"/>
    <w:rsid w:val="00F15FA5"/>
    <w:rsid w:val="00F16643"/>
    <w:rsid w:val="00F209B7"/>
    <w:rsid w:val="00F20B0E"/>
    <w:rsid w:val="00F2376F"/>
    <w:rsid w:val="00F241E8"/>
    <w:rsid w:val="00F243D8"/>
    <w:rsid w:val="00F3019E"/>
    <w:rsid w:val="00F30828"/>
    <w:rsid w:val="00F313D6"/>
    <w:rsid w:val="00F33EC5"/>
    <w:rsid w:val="00F34E5F"/>
    <w:rsid w:val="00F351AE"/>
    <w:rsid w:val="00F3715E"/>
    <w:rsid w:val="00F40F0C"/>
    <w:rsid w:val="00F4766C"/>
    <w:rsid w:val="00F507D1"/>
    <w:rsid w:val="00F519CE"/>
    <w:rsid w:val="00F51ADA"/>
    <w:rsid w:val="00F560CA"/>
    <w:rsid w:val="00F607C5"/>
    <w:rsid w:val="00F60DEA"/>
    <w:rsid w:val="00F6302A"/>
    <w:rsid w:val="00F64329"/>
    <w:rsid w:val="00F64632"/>
    <w:rsid w:val="00F64C2B"/>
    <w:rsid w:val="00F651BE"/>
    <w:rsid w:val="00F67A15"/>
    <w:rsid w:val="00F67F53"/>
    <w:rsid w:val="00F70124"/>
    <w:rsid w:val="00F703BE"/>
    <w:rsid w:val="00F71F69"/>
    <w:rsid w:val="00F72B72"/>
    <w:rsid w:val="00F74BB9"/>
    <w:rsid w:val="00F75582"/>
    <w:rsid w:val="00F75A7F"/>
    <w:rsid w:val="00F768C7"/>
    <w:rsid w:val="00F76EFA"/>
    <w:rsid w:val="00F804BE"/>
    <w:rsid w:val="00F81287"/>
    <w:rsid w:val="00F817CE"/>
    <w:rsid w:val="00F821DC"/>
    <w:rsid w:val="00F82C12"/>
    <w:rsid w:val="00F82F4E"/>
    <w:rsid w:val="00F8456C"/>
    <w:rsid w:val="00F858AE"/>
    <w:rsid w:val="00F859D8"/>
    <w:rsid w:val="00F868F5"/>
    <w:rsid w:val="00F9056A"/>
    <w:rsid w:val="00F90F8D"/>
    <w:rsid w:val="00F92782"/>
    <w:rsid w:val="00F93AA9"/>
    <w:rsid w:val="00F94784"/>
    <w:rsid w:val="00F96985"/>
    <w:rsid w:val="00F97838"/>
    <w:rsid w:val="00F97F0A"/>
    <w:rsid w:val="00FA2BB3"/>
    <w:rsid w:val="00FA3B9C"/>
    <w:rsid w:val="00FA5E06"/>
    <w:rsid w:val="00FB1072"/>
    <w:rsid w:val="00FB4C80"/>
    <w:rsid w:val="00FB6A6A"/>
    <w:rsid w:val="00FC4162"/>
    <w:rsid w:val="00FC47FA"/>
    <w:rsid w:val="00FC4AD0"/>
    <w:rsid w:val="00FC61CA"/>
    <w:rsid w:val="00FC7429"/>
    <w:rsid w:val="00FD07F6"/>
    <w:rsid w:val="00FD161A"/>
    <w:rsid w:val="00FD1EC8"/>
    <w:rsid w:val="00FD3FB3"/>
    <w:rsid w:val="00FD453E"/>
    <w:rsid w:val="00FD47ED"/>
    <w:rsid w:val="00FD74DB"/>
    <w:rsid w:val="00FD7660"/>
    <w:rsid w:val="00FE0655"/>
    <w:rsid w:val="00FE1B74"/>
    <w:rsid w:val="00FE2365"/>
    <w:rsid w:val="00FE349F"/>
    <w:rsid w:val="00FE3DCB"/>
    <w:rsid w:val="00FE4C7B"/>
    <w:rsid w:val="00FE7336"/>
    <w:rsid w:val="00FE787C"/>
    <w:rsid w:val="00FF45A5"/>
    <w:rsid w:val="00FF56CF"/>
    <w:rsid w:val="00FF5C91"/>
    <w:rsid w:val="00FF5E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DFFACD"/>
  <w15:docId w15:val="{F24A59CA-1298-4C0C-AB74-6C1C0BC84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F7D7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F7D7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BF7D79"/>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BF7D7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BF7D79"/>
    <w:pPr>
      <w:numPr>
        <w:ilvl w:val="3"/>
      </w:numPr>
      <w:outlineLvl w:val="3"/>
    </w:pPr>
    <w:rPr>
      <w:sz w:val="24"/>
      <w:szCs w:val="24"/>
    </w:rPr>
  </w:style>
  <w:style w:type="paragraph" w:styleId="Heading5">
    <w:name w:val="heading 5"/>
    <w:basedOn w:val="Heading4"/>
    <w:next w:val="Normal"/>
    <w:qFormat/>
    <w:rsid w:val="00BF7D79"/>
    <w:pPr>
      <w:numPr>
        <w:ilvl w:val="4"/>
      </w:numPr>
      <w:outlineLvl w:val="4"/>
    </w:pPr>
    <w:rPr>
      <w:sz w:val="22"/>
      <w:szCs w:val="22"/>
    </w:rPr>
  </w:style>
  <w:style w:type="paragraph" w:styleId="Heading6">
    <w:name w:val="heading 6"/>
    <w:basedOn w:val="Normal"/>
    <w:next w:val="Normal"/>
    <w:qFormat/>
    <w:rsid w:val="00BF7D79"/>
    <w:pPr>
      <w:keepNext/>
      <w:keepLines/>
      <w:numPr>
        <w:ilvl w:val="5"/>
        <w:numId w:val="1"/>
      </w:numPr>
      <w:spacing w:before="120"/>
      <w:outlineLvl w:val="5"/>
    </w:pPr>
    <w:rPr>
      <w:rFonts w:cs="Arial"/>
    </w:rPr>
  </w:style>
  <w:style w:type="paragraph" w:styleId="Heading7">
    <w:name w:val="heading 7"/>
    <w:basedOn w:val="Normal"/>
    <w:next w:val="Normal"/>
    <w:qFormat/>
    <w:rsid w:val="00BF7D79"/>
    <w:pPr>
      <w:keepNext/>
      <w:keepLines/>
      <w:numPr>
        <w:ilvl w:val="6"/>
        <w:numId w:val="1"/>
      </w:numPr>
      <w:spacing w:before="120"/>
      <w:outlineLvl w:val="6"/>
    </w:pPr>
    <w:rPr>
      <w:rFonts w:cs="Arial"/>
    </w:rPr>
  </w:style>
  <w:style w:type="paragraph" w:styleId="Heading8">
    <w:name w:val="heading 8"/>
    <w:basedOn w:val="Heading7"/>
    <w:next w:val="Normal"/>
    <w:qFormat/>
    <w:rsid w:val="00BF7D79"/>
    <w:pPr>
      <w:numPr>
        <w:ilvl w:val="7"/>
      </w:numPr>
      <w:outlineLvl w:val="7"/>
    </w:pPr>
  </w:style>
  <w:style w:type="paragraph" w:styleId="Heading9">
    <w:name w:val="heading 9"/>
    <w:basedOn w:val="Heading8"/>
    <w:next w:val="Normal"/>
    <w:qFormat/>
    <w:rsid w:val="00BF7D7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F7D79"/>
    <w:pPr>
      <w:spacing w:before="180"/>
      <w:ind w:left="2693" w:hanging="2693"/>
    </w:pPr>
    <w:rPr>
      <w:b w:val="0"/>
      <w:bCs/>
    </w:rPr>
  </w:style>
  <w:style w:type="paragraph" w:styleId="TOC1">
    <w:name w:val="toc 1"/>
    <w:aliases w:val="Observation TOC2"/>
    <w:uiPriority w:val="39"/>
    <w:rsid w:val="00BF7D7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F7D79"/>
    <w:pPr>
      <w:keepNext/>
      <w:keepLines/>
      <w:spacing w:before="180"/>
      <w:jc w:val="center"/>
    </w:pPr>
  </w:style>
  <w:style w:type="paragraph" w:styleId="Caption">
    <w:name w:val="caption"/>
    <w:basedOn w:val="Normal"/>
    <w:next w:val="Normal"/>
    <w:qFormat/>
    <w:rsid w:val="00BF7D79"/>
    <w:pPr>
      <w:spacing w:after="240"/>
      <w:jc w:val="center"/>
    </w:pPr>
    <w:rPr>
      <w:b/>
      <w:bCs/>
    </w:rPr>
  </w:style>
  <w:style w:type="paragraph" w:styleId="TOC5">
    <w:name w:val="toc 5"/>
    <w:aliases w:val="Observation TOC"/>
    <w:basedOn w:val="TOC4"/>
    <w:semiHidden/>
    <w:rsid w:val="00BF7D79"/>
    <w:pPr>
      <w:tabs>
        <w:tab w:val="right" w:pos="1701"/>
      </w:tabs>
      <w:ind w:left="1701" w:hanging="1701"/>
    </w:pPr>
  </w:style>
  <w:style w:type="paragraph" w:styleId="TOC4">
    <w:name w:val="toc 4"/>
    <w:basedOn w:val="TOC3"/>
    <w:semiHidden/>
    <w:rsid w:val="00BF7D79"/>
    <w:pPr>
      <w:ind w:left="1418" w:hanging="1418"/>
    </w:pPr>
  </w:style>
  <w:style w:type="paragraph" w:styleId="TOC3">
    <w:name w:val="toc 3"/>
    <w:basedOn w:val="TOC2"/>
    <w:semiHidden/>
    <w:rsid w:val="00BF7D79"/>
    <w:pPr>
      <w:ind w:left="1134" w:hanging="1134"/>
    </w:pPr>
  </w:style>
  <w:style w:type="paragraph" w:styleId="TOC2">
    <w:name w:val="toc 2"/>
    <w:basedOn w:val="TOC1"/>
    <w:semiHidden/>
    <w:rsid w:val="00BF7D79"/>
    <w:pPr>
      <w:keepNext w:val="0"/>
      <w:spacing w:before="0"/>
      <w:ind w:left="851" w:hanging="851"/>
    </w:pPr>
    <w:rPr>
      <w:szCs w:val="20"/>
    </w:rPr>
  </w:style>
  <w:style w:type="paragraph" w:styleId="Index2">
    <w:name w:val="index 2"/>
    <w:basedOn w:val="Index1"/>
    <w:semiHidden/>
    <w:rsid w:val="00BF7D79"/>
    <w:pPr>
      <w:ind w:left="284"/>
    </w:pPr>
  </w:style>
  <w:style w:type="paragraph" w:styleId="Index1">
    <w:name w:val="index 1"/>
    <w:basedOn w:val="Normal"/>
    <w:semiHidden/>
    <w:rsid w:val="00BF7D79"/>
    <w:pPr>
      <w:keepLines/>
      <w:spacing w:after="0"/>
    </w:pPr>
  </w:style>
  <w:style w:type="paragraph" w:styleId="DocumentMap">
    <w:name w:val="Document Map"/>
    <w:basedOn w:val="Normal"/>
    <w:semiHidden/>
    <w:rsid w:val="00BF7D79"/>
    <w:pPr>
      <w:shd w:val="clear" w:color="auto" w:fill="000080"/>
    </w:pPr>
    <w:rPr>
      <w:rFonts w:ascii="Tahoma" w:hAnsi="Tahoma" w:cs="Tahoma"/>
    </w:rPr>
  </w:style>
  <w:style w:type="paragraph" w:styleId="ListNumber2">
    <w:name w:val="List Number 2"/>
    <w:basedOn w:val="ListNumber"/>
    <w:rsid w:val="00BF7D79"/>
    <w:pPr>
      <w:ind w:left="851"/>
    </w:pPr>
  </w:style>
  <w:style w:type="paragraph" w:styleId="ListNumber">
    <w:name w:val="List Number"/>
    <w:basedOn w:val="List"/>
    <w:rsid w:val="00BF7D79"/>
  </w:style>
  <w:style w:type="paragraph" w:styleId="List">
    <w:name w:val="List"/>
    <w:basedOn w:val="Normal"/>
    <w:rsid w:val="00BF7D79"/>
    <w:pPr>
      <w:ind w:left="568" w:hanging="284"/>
    </w:pPr>
  </w:style>
  <w:style w:type="paragraph" w:styleId="Header">
    <w:name w:val="header"/>
    <w:link w:val="HeaderChar"/>
    <w:rsid w:val="00BF7D7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F7D79"/>
    <w:rPr>
      <w:b/>
      <w:bCs/>
      <w:position w:val="6"/>
      <w:sz w:val="16"/>
      <w:szCs w:val="16"/>
    </w:rPr>
  </w:style>
  <w:style w:type="paragraph" w:styleId="FootnoteText">
    <w:name w:val="footnote text"/>
    <w:basedOn w:val="Normal"/>
    <w:semiHidden/>
    <w:rsid w:val="00BF7D79"/>
    <w:pPr>
      <w:keepLines/>
      <w:spacing w:after="0"/>
      <w:ind w:left="454" w:hanging="454"/>
    </w:pPr>
    <w:rPr>
      <w:sz w:val="16"/>
      <w:szCs w:val="16"/>
    </w:rPr>
  </w:style>
  <w:style w:type="paragraph" w:customStyle="1" w:styleId="3GPPHeader">
    <w:name w:val="3GPP_Header"/>
    <w:basedOn w:val="Normal"/>
    <w:rsid w:val="00BF7D79"/>
    <w:pPr>
      <w:tabs>
        <w:tab w:val="left" w:pos="1701"/>
        <w:tab w:val="right" w:pos="9639"/>
      </w:tabs>
      <w:spacing w:after="240"/>
    </w:pPr>
    <w:rPr>
      <w:b/>
      <w:sz w:val="24"/>
    </w:rPr>
  </w:style>
  <w:style w:type="paragraph" w:styleId="TOC9">
    <w:name w:val="toc 9"/>
    <w:basedOn w:val="TOC8"/>
    <w:semiHidden/>
    <w:rsid w:val="00BF7D79"/>
    <w:pPr>
      <w:ind w:left="1418" w:hanging="1418"/>
    </w:pPr>
  </w:style>
  <w:style w:type="paragraph" w:styleId="TOC6">
    <w:name w:val="toc 6"/>
    <w:basedOn w:val="TOC5"/>
    <w:next w:val="Normal"/>
    <w:semiHidden/>
    <w:rsid w:val="00BF7D79"/>
    <w:pPr>
      <w:ind w:left="1985" w:hanging="1985"/>
    </w:pPr>
  </w:style>
  <w:style w:type="paragraph" w:styleId="TOC7">
    <w:name w:val="toc 7"/>
    <w:basedOn w:val="TOC6"/>
    <w:next w:val="Normal"/>
    <w:semiHidden/>
    <w:rsid w:val="00BF7D79"/>
    <w:pPr>
      <w:ind w:left="2268" w:hanging="2268"/>
    </w:pPr>
  </w:style>
  <w:style w:type="paragraph" w:styleId="ListBullet2">
    <w:name w:val="List Bullet 2"/>
    <w:basedOn w:val="ListBullet"/>
    <w:rsid w:val="00BF7D79"/>
    <w:pPr>
      <w:numPr>
        <w:numId w:val="6"/>
      </w:numPr>
    </w:pPr>
  </w:style>
  <w:style w:type="paragraph" w:styleId="ListBullet">
    <w:name w:val="List Bullet"/>
    <w:basedOn w:val="BodyText"/>
    <w:rsid w:val="00BF7D79"/>
    <w:pPr>
      <w:numPr>
        <w:numId w:val="5"/>
      </w:numPr>
    </w:pPr>
  </w:style>
  <w:style w:type="paragraph" w:styleId="ListBullet3">
    <w:name w:val="List Bullet 3"/>
    <w:basedOn w:val="ListBullet2"/>
    <w:rsid w:val="00BF7D79"/>
    <w:pPr>
      <w:numPr>
        <w:numId w:val="7"/>
      </w:numPr>
    </w:pPr>
  </w:style>
  <w:style w:type="paragraph" w:customStyle="1" w:styleId="EQ">
    <w:name w:val="EQ"/>
    <w:basedOn w:val="Normal"/>
    <w:next w:val="Normal"/>
    <w:rsid w:val="00BF7D79"/>
    <w:pPr>
      <w:keepLines/>
      <w:tabs>
        <w:tab w:val="center" w:pos="4536"/>
        <w:tab w:val="right" w:pos="9072"/>
      </w:tabs>
      <w:spacing w:after="180"/>
      <w:jc w:val="left"/>
    </w:pPr>
    <w:rPr>
      <w:noProof/>
      <w:lang w:eastAsia="en-US"/>
    </w:rPr>
  </w:style>
  <w:style w:type="paragraph" w:styleId="List2">
    <w:name w:val="List 2"/>
    <w:basedOn w:val="List"/>
    <w:rsid w:val="00BF7D79"/>
    <w:pPr>
      <w:ind w:left="851"/>
    </w:pPr>
  </w:style>
  <w:style w:type="paragraph" w:styleId="List3">
    <w:name w:val="List 3"/>
    <w:basedOn w:val="List2"/>
    <w:rsid w:val="00BF7D79"/>
    <w:pPr>
      <w:ind w:left="1135"/>
    </w:pPr>
  </w:style>
  <w:style w:type="paragraph" w:styleId="List4">
    <w:name w:val="List 4"/>
    <w:basedOn w:val="List3"/>
    <w:rsid w:val="00BF7D79"/>
    <w:pPr>
      <w:ind w:left="1418"/>
    </w:pPr>
  </w:style>
  <w:style w:type="paragraph" w:styleId="List5">
    <w:name w:val="List 5"/>
    <w:basedOn w:val="List4"/>
    <w:rsid w:val="00BF7D79"/>
    <w:pPr>
      <w:ind w:left="1702"/>
    </w:pPr>
  </w:style>
  <w:style w:type="paragraph" w:customStyle="1" w:styleId="EditorsNote">
    <w:name w:val="Editor's Note"/>
    <w:basedOn w:val="Normal"/>
    <w:rsid w:val="00BF7D79"/>
    <w:pPr>
      <w:keepLines/>
      <w:spacing w:after="180"/>
      <w:ind w:left="1135" w:hanging="851"/>
      <w:jc w:val="left"/>
    </w:pPr>
    <w:rPr>
      <w:color w:val="FF0000"/>
      <w:lang w:eastAsia="en-US"/>
    </w:rPr>
  </w:style>
  <w:style w:type="paragraph" w:styleId="ListBullet4">
    <w:name w:val="List Bullet 4"/>
    <w:basedOn w:val="ListBullet3"/>
    <w:rsid w:val="00BF7D79"/>
    <w:pPr>
      <w:numPr>
        <w:numId w:val="8"/>
      </w:numPr>
    </w:pPr>
  </w:style>
  <w:style w:type="paragraph" w:styleId="ListBullet5">
    <w:name w:val="List Bullet 5"/>
    <w:basedOn w:val="ListBullet4"/>
    <w:rsid w:val="00BF7D79"/>
    <w:pPr>
      <w:numPr>
        <w:numId w:val="4"/>
      </w:numPr>
    </w:pPr>
  </w:style>
  <w:style w:type="paragraph" w:styleId="Footer">
    <w:name w:val="footer"/>
    <w:basedOn w:val="Header"/>
    <w:semiHidden/>
    <w:rsid w:val="00BF7D79"/>
    <w:pPr>
      <w:jc w:val="center"/>
    </w:pPr>
    <w:rPr>
      <w:i/>
      <w:iCs/>
    </w:rPr>
  </w:style>
  <w:style w:type="paragraph" w:customStyle="1" w:styleId="Reference">
    <w:name w:val="Reference"/>
    <w:basedOn w:val="Normal"/>
    <w:link w:val="ReferenceChar"/>
    <w:rsid w:val="00BF7D79"/>
    <w:pPr>
      <w:numPr>
        <w:numId w:val="2"/>
      </w:numPr>
    </w:pPr>
  </w:style>
  <w:style w:type="paragraph" w:styleId="BalloonText">
    <w:name w:val="Balloon Text"/>
    <w:basedOn w:val="Normal"/>
    <w:semiHidden/>
    <w:rsid w:val="00BF7D79"/>
    <w:rPr>
      <w:rFonts w:ascii="Tahoma" w:hAnsi="Tahoma" w:cs="Tahoma"/>
      <w:sz w:val="16"/>
      <w:szCs w:val="16"/>
    </w:rPr>
  </w:style>
  <w:style w:type="character" w:styleId="PageNumber">
    <w:name w:val="page number"/>
    <w:basedOn w:val="DefaultParagraphFont"/>
    <w:semiHidden/>
    <w:rsid w:val="00BF7D79"/>
  </w:style>
  <w:style w:type="paragraph" w:styleId="BodyText">
    <w:name w:val="Body Text"/>
    <w:basedOn w:val="Normal"/>
    <w:link w:val="BodyTextChar"/>
    <w:rsid w:val="00BF7D79"/>
  </w:style>
  <w:style w:type="character" w:styleId="Hyperlink">
    <w:name w:val="Hyperlink"/>
    <w:uiPriority w:val="99"/>
    <w:rsid w:val="00BF7D79"/>
    <w:rPr>
      <w:color w:val="0000FF"/>
      <w:u w:val="single"/>
      <w:lang w:val="en-GB"/>
    </w:rPr>
  </w:style>
  <w:style w:type="character" w:styleId="FollowedHyperlink">
    <w:name w:val="FollowedHyperlink"/>
    <w:semiHidden/>
    <w:rsid w:val="00BF7D79"/>
    <w:rPr>
      <w:color w:val="FF0000"/>
      <w:u w:val="single"/>
    </w:rPr>
  </w:style>
  <w:style w:type="character" w:styleId="CommentReference">
    <w:name w:val="annotation reference"/>
    <w:semiHidden/>
    <w:rsid w:val="00BF7D79"/>
    <w:rPr>
      <w:sz w:val="16"/>
      <w:szCs w:val="16"/>
    </w:rPr>
  </w:style>
  <w:style w:type="paragraph" w:styleId="CommentText">
    <w:name w:val="annotation text"/>
    <w:basedOn w:val="Normal"/>
    <w:semiHidden/>
    <w:rsid w:val="00BF7D79"/>
  </w:style>
  <w:style w:type="paragraph" w:styleId="CommentSubject">
    <w:name w:val="annotation subject"/>
    <w:basedOn w:val="CommentText"/>
    <w:next w:val="CommentText"/>
    <w:semiHidden/>
    <w:rsid w:val="00BF7D79"/>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F7D79"/>
    <w:rPr>
      <w:rFonts w:ascii="Arial" w:hAnsi="Arial" w:cs="Arial"/>
      <w:sz w:val="36"/>
      <w:szCs w:val="36"/>
      <w:lang w:val="en-GB" w:eastAsia="zh-CN"/>
    </w:rPr>
  </w:style>
  <w:style w:type="paragraph" w:customStyle="1" w:styleId="B1">
    <w:name w:val="B1"/>
    <w:basedOn w:val="List"/>
    <w:rsid w:val="00BF7D79"/>
    <w:pPr>
      <w:spacing w:after="180"/>
      <w:jc w:val="left"/>
    </w:pPr>
    <w:rPr>
      <w:lang w:eastAsia="en-US"/>
    </w:rPr>
  </w:style>
  <w:style w:type="paragraph" w:customStyle="1" w:styleId="B2">
    <w:name w:val="B2"/>
    <w:basedOn w:val="List2"/>
    <w:rsid w:val="00BF7D79"/>
    <w:pPr>
      <w:spacing w:after="180"/>
      <w:jc w:val="left"/>
    </w:pPr>
    <w:rPr>
      <w:lang w:eastAsia="en-US"/>
    </w:rPr>
  </w:style>
  <w:style w:type="paragraph" w:customStyle="1" w:styleId="B3">
    <w:name w:val="B3"/>
    <w:basedOn w:val="List3"/>
    <w:rsid w:val="00BF7D79"/>
    <w:pPr>
      <w:spacing w:after="180"/>
      <w:jc w:val="left"/>
    </w:pPr>
    <w:rPr>
      <w:lang w:eastAsia="en-US"/>
    </w:rPr>
  </w:style>
  <w:style w:type="paragraph" w:customStyle="1" w:styleId="B4">
    <w:name w:val="B4"/>
    <w:basedOn w:val="List4"/>
    <w:rsid w:val="00BF7D79"/>
    <w:pPr>
      <w:spacing w:after="180"/>
      <w:jc w:val="left"/>
    </w:pPr>
    <w:rPr>
      <w:lang w:eastAsia="en-US"/>
    </w:rPr>
  </w:style>
  <w:style w:type="paragraph" w:customStyle="1" w:styleId="Proposal">
    <w:name w:val="Proposal"/>
    <w:basedOn w:val="Normal"/>
    <w:rsid w:val="00BF7D79"/>
    <w:pPr>
      <w:numPr>
        <w:numId w:val="3"/>
      </w:numPr>
      <w:tabs>
        <w:tab w:val="clear" w:pos="1304"/>
        <w:tab w:val="left" w:pos="1701"/>
      </w:tabs>
      <w:ind w:left="1701" w:hanging="1701"/>
    </w:pPr>
    <w:rPr>
      <w:b/>
      <w:bCs/>
    </w:rPr>
  </w:style>
  <w:style w:type="character" w:customStyle="1" w:styleId="BodyTextChar">
    <w:name w:val="Body Text Char"/>
    <w:link w:val="BodyText"/>
    <w:rsid w:val="00BF7D79"/>
    <w:rPr>
      <w:rFonts w:ascii="Arial" w:hAnsi="Arial"/>
      <w:lang w:val="en-GB" w:eastAsia="zh-CN"/>
    </w:rPr>
  </w:style>
  <w:style w:type="paragraph" w:customStyle="1" w:styleId="B5">
    <w:name w:val="B5"/>
    <w:basedOn w:val="List5"/>
    <w:rsid w:val="00BF7D79"/>
    <w:pPr>
      <w:spacing w:after="180"/>
      <w:jc w:val="left"/>
    </w:pPr>
    <w:rPr>
      <w:lang w:eastAsia="en-US"/>
    </w:rPr>
  </w:style>
  <w:style w:type="paragraph" w:customStyle="1" w:styleId="EX">
    <w:name w:val="EX"/>
    <w:basedOn w:val="Normal"/>
    <w:rsid w:val="00BF7D79"/>
    <w:pPr>
      <w:keepLines/>
      <w:spacing w:after="180"/>
      <w:ind w:left="1702" w:hanging="1418"/>
      <w:jc w:val="left"/>
    </w:pPr>
    <w:rPr>
      <w:lang w:eastAsia="en-US"/>
    </w:rPr>
  </w:style>
  <w:style w:type="paragraph" w:customStyle="1" w:styleId="EW">
    <w:name w:val="EW"/>
    <w:basedOn w:val="EX"/>
    <w:rsid w:val="00BF7D79"/>
    <w:pPr>
      <w:spacing w:after="0"/>
    </w:pPr>
  </w:style>
  <w:style w:type="paragraph" w:customStyle="1" w:styleId="TAL">
    <w:name w:val="TAL"/>
    <w:basedOn w:val="Normal"/>
    <w:link w:val="TALCar"/>
    <w:rsid w:val="00BF7D79"/>
    <w:pPr>
      <w:keepNext/>
      <w:keepLines/>
      <w:spacing w:after="0"/>
      <w:jc w:val="left"/>
    </w:pPr>
    <w:rPr>
      <w:sz w:val="18"/>
      <w:lang w:eastAsia="en-US"/>
    </w:rPr>
  </w:style>
  <w:style w:type="paragraph" w:customStyle="1" w:styleId="TAC">
    <w:name w:val="TAC"/>
    <w:basedOn w:val="TAL"/>
    <w:rsid w:val="00BF7D79"/>
    <w:pPr>
      <w:jc w:val="center"/>
    </w:pPr>
  </w:style>
  <w:style w:type="paragraph" w:customStyle="1" w:styleId="TAH">
    <w:name w:val="TAH"/>
    <w:basedOn w:val="TAC"/>
    <w:link w:val="TAHCar"/>
    <w:rsid w:val="00BF7D79"/>
    <w:rPr>
      <w:b/>
    </w:rPr>
  </w:style>
  <w:style w:type="paragraph" w:customStyle="1" w:styleId="TAN">
    <w:name w:val="TAN"/>
    <w:basedOn w:val="TAL"/>
    <w:rsid w:val="00BF7D79"/>
    <w:pPr>
      <w:ind w:left="851" w:hanging="851"/>
    </w:pPr>
  </w:style>
  <w:style w:type="paragraph" w:customStyle="1" w:styleId="TAR">
    <w:name w:val="TAR"/>
    <w:basedOn w:val="TAL"/>
    <w:rsid w:val="00BF7D79"/>
    <w:pPr>
      <w:jc w:val="right"/>
    </w:pPr>
  </w:style>
  <w:style w:type="paragraph" w:customStyle="1" w:styleId="TH">
    <w:name w:val="TH"/>
    <w:basedOn w:val="Normal"/>
    <w:link w:val="THChar"/>
    <w:rsid w:val="00BF7D79"/>
    <w:pPr>
      <w:keepNext/>
      <w:keepLines/>
      <w:spacing w:before="60" w:after="180"/>
      <w:jc w:val="center"/>
    </w:pPr>
    <w:rPr>
      <w:b/>
      <w:lang w:eastAsia="en-US"/>
    </w:rPr>
  </w:style>
  <w:style w:type="paragraph" w:customStyle="1" w:styleId="TF">
    <w:name w:val="TF"/>
    <w:basedOn w:val="TH"/>
    <w:rsid w:val="00BF7D79"/>
    <w:pPr>
      <w:keepNext w:val="0"/>
      <w:spacing w:before="0" w:after="240"/>
    </w:pPr>
  </w:style>
  <w:style w:type="paragraph" w:customStyle="1" w:styleId="TT">
    <w:name w:val="TT"/>
    <w:basedOn w:val="Heading1"/>
    <w:next w:val="Normal"/>
    <w:rsid w:val="00BF7D79"/>
    <w:pPr>
      <w:numPr>
        <w:numId w:val="0"/>
      </w:numPr>
      <w:ind w:left="1134" w:hanging="1134"/>
      <w:outlineLvl w:val="9"/>
    </w:pPr>
    <w:rPr>
      <w:rFonts w:cs="Times New Roman"/>
      <w:szCs w:val="20"/>
      <w:lang w:eastAsia="en-US"/>
    </w:rPr>
  </w:style>
  <w:style w:type="paragraph" w:customStyle="1" w:styleId="ZA">
    <w:name w:val="ZA"/>
    <w:rsid w:val="00BF7D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F7D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F7D7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F7D7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F7D79"/>
  </w:style>
  <w:style w:type="paragraph" w:customStyle="1" w:styleId="ZH">
    <w:name w:val="ZH"/>
    <w:rsid w:val="00BF7D7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F7D7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F7D79"/>
    <w:pPr>
      <w:framePr w:hRule="auto" w:wrap="notBeside" w:y="852"/>
    </w:pPr>
    <w:rPr>
      <w:i w:val="0"/>
      <w:sz w:val="40"/>
    </w:rPr>
  </w:style>
  <w:style w:type="paragraph" w:customStyle="1" w:styleId="ZU">
    <w:name w:val="ZU"/>
    <w:rsid w:val="00BF7D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F7D79"/>
    <w:pPr>
      <w:framePr w:wrap="notBeside" w:y="16161"/>
    </w:pPr>
  </w:style>
  <w:style w:type="paragraph" w:customStyle="1" w:styleId="FP">
    <w:name w:val="FP"/>
    <w:basedOn w:val="Normal"/>
    <w:rsid w:val="00BF7D79"/>
    <w:pPr>
      <w:spacing w:after="0"/>
      <w:jc w:val="left"/>
    </w:pPr>
    <w:rPr>
      <w:lang w:eastAsia="en-US"/>
    </w:rPr>
  </w:style>
  <w:style w:type="paragraph" w:customStyle="1" w:styleId="Observation">
    <w:name w:val="Observation"/>
    <w:basedOn w:val="Proposal"/>
    <w:qFormat/>
    <w:rsid w:val="00BF7D79"/>
    <w:pPr>
      <w:numPr>
        <w:numId w:val="9"/>
      </w:numPr>
      <w:ind w:left="1701" w:hanging="1701"/>
    </w:pPr>
  </w:style>
  <w:style w:type="paragraph" w:styleId="TableofFigures">
    <w:name w:val="table of figures"/>
    <w:basedOn w:val="Normal"/>
    <w:next w:val="Normal"/>
    <w:uiPriority w:val="99"/>
    <w:rsid w:val="00BF7D79"/>
    <w:pPr>
      <w:ind w:left="1418" w:hanging="1418"/>
      <w:jc w:val="left"/>
    </w:pPr>
    <w:rPr>
      <w:b/>
    </w:rPr>
  </w:style>
  <w:style w:type="paragraph" w:customStyle="1" w:styleId="CRCoverPage">
    <w:name w:val="CR Cover Page"/>
    <w:link w:val="CRCoverPageZchn"/>
    <w:rsid w:val="00EC60B5"/>
    <w:pPr>
      <w:spacing w:after="120"/>
    </w:pPr>
    <w:rPr>
      <w:rFonts w:ascii="Arial" w:hAnsi="Arial"/>
      <w:lang w:val="en-GB"/>
    </w:rPr>
  </w:style>
  <w:style w:type="paragraph" w:customStyle="1" w:styleId="Doc-text2">
    <w:name w:val="Doc-text2"/>
    <w:basedOn w:val="Normal"/>
    <w:link w:val="Doc-text2Char"/>
    <w:qFormat/>
    <w:rsid w:val="00B06C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06CB4"/>
    <w:rPr>
      <w:rFonts w:ascii="Arial" w:eastAsia="MS Mincho" w:hAnsi="Arial"/>
      <w:szCs w:val="24"/>
      <w:lang w:val="en-GB" w:eastAsia="en-GB"/>
    </w:rPr>
  </w:style>
  <w:style w:type="paragraph" w:styleId="NormalWeb">
    <w:name w:val="Normal (Web)"/>
    <w:basedOn w:val="Normal"/>
    <w:uiPriority w:val="99"/>
    <w:unhideWhenUsed/>
    <w:rsid w:val="005D5B80"/>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paragraph" w:styleId="ListParagraph">
    <w:name w:val="List Paragraph"/>
    <w:basedOn w:val="Normal"/>
    <w:uiPriority w:val="34"/>
    <w:qFormat/>
    <w:rsid w:val="004C1B75"/>
    <w:pPr>
      <w:ind w:left="720"/>
      <w:contextualSpacing/>
    </w:pPr>
  </w:style>
  <w:style w:type="character" w:customStyle="1" w:styleId="ReferenceChar">
    <w:name w:val="Reference Char"/>
    <w:link w:val="Reference"/>
    <w:rsid w:val="00081D62"/>
    <w:rPr>
      <w:rFonts w:ascii="Arial" w:hAnsi="Arial"/>
      <w:lang w:val="en-GB" w:eastAsia="zh-CN"/>
    </w:rPr>
  </w:style>
  <w:style w:type="character" w:customStyle="1" w:styleId="Heading2Char">
    <w:name w:val="Heading 2 Char"/>
    <w:aliases w:val="H2 Char1,h2 Char1,Head2A Char,2 Char,UNDERRUBRIK 1-2 Char,DO NOT USE_h2 Char,h21 Char,H2 Char Char,h2 Char Char,标题 2 Char"/>
    <w:link w:val="Heading2"/>
    <w:rsid w:val="00081D62"/>
    <w:rPr>
      <w:rFonts w:ascii="Arial" w:hAnsi="Arial" w:cs="Arial"/>
      <w:sz w:val="32"/>
      <w:szCs w:val="32"/>
      <w:lang w:val="en-GB" w:eastAsia="zh-CN"/>
    </w:rPr>
  </w:style>
  <w:style w:type="paragraph" w:styleId="Revision">
    <w:name w:val="Revision"/>
    <w:hidden/>
    <w:uiPriority w:val="99"/>
    <w:semiHidden/>
    <w:rsid w:val="000D326B"/>
    <w:rPr>
      <w:rFonts w:ascii="Arial" w:hAnsi="Arial"/>
      <w:lang w:val="en-GB" w:eastAsia="zh-CN"/>
    </w:rPr>
  </w:style>
  <w:style w:type="paragraph" w:customStyle="1" w:styleId="PL">
    <w:name w:val="PL"/>
    <w:link w:val="PLChar"/>
    <w:rsid w:val="003811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381171"/>
    <w:rPr>
      <w:rFonts w:ascii="Courier New" w:hAnsi="Courier New"/>
      <w:noProof/>
      <w:sz w:val="16"/>
      <w:lang w:val="en-GB" w:eastAsia="en-GB"/>
    </w:rPr>
  </w:style>
  <w:style w:type="character" w:customStyle="1" w:styleId="TALCar">
    <w:name w:val="TAL Car"/>
    <w:link w:val="TAL"/>
    <w:locked/>
    <w:rsid w:val="00381171"/>
    <w:rPr>
      <w:rFonts w:ascii="Arial" w:hAnsi="Arial"/>
      <w:sz w:val="18"/>
      <w:lang w:val="en-GB"/>
    </w:rPr>
  </w:style>
  <w:style w:type="character" w:customStyle="1" w:styleId="THChar">
    <w:name w:val="TH Char"/>
    <w:link w:val="TH"/>
    <w:locked/>
    <w:rsid w:val="00381171"/>
    <w:rPr>
      <w:rFonts w:ascii="Arial" w:hAnsi="Arial"/>
      <w:b/>
      <w:lang w:val="en-GB"/>
    </w:rPr>
  </w:style>
  <w:style w:type="character" w:customStyle="1" w:styleId="TAHCar">
    <w:name w:val="TAH Car"/>
    <w:link w:val="TAH"/>
    <w:locked/>
    <w:rsid w:val="00381171"/>
    <w:rPr>
      <w:rFonts w:ascii="Arial" w:hAnsi="Arial"/>
      <w:b/>
      <w:sz w:val="18"/>
      <w:lang w:val="en-GB"/>
    </w:rPr>
  </w:style>
  <w:style w:type="paragraph" w:customStyle="1" w:styleId="IvDInstructiontext">
    <w:name w:val="IvD Instructiontext"/>
    <w:basedOn w:val="BodyText"/>
    <w:link w:val="IvDInstructiontextChar"/>
    <w:uiPriority w:val="99"/>
    <w:qFormat/>
    <w:rsid w:val="004D112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4D1126"/>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4D112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4D1126"/>
    <w:rPr>
      <w:rFonts w:ascii="Arial" w:hAnsi="Arial"/>
      <w:spacing w:val="2"/>
    </w:rPr>
  </w:style>
  <w:style w:type="character" w:customStyle="1" w:styleId="CRCoverPageZchn">
    <w:name w:val="CR Cover Page Zchn"/>
    <w:link w:val="CRCoverPage"/>
    <w:rsid w:val="00D15300"/>
    <w:rPr>
      <w:rFonts w:ascii="Arial" w:hAnsi="Arial"/>
      <w:lang w:val="en-GB"/>
    </w:rPr>
  </w:style>
  <w:style w:type="character" w:customStyle="1" w:styleId="HeaderChar">
    <w:name w:val="Header Char"/>
    <w:basedOn w:val="DefaultParagraphFont"/>
    <w:link w:val="Header"/>
    <w:rsid w:val="00520803"/>
    <w:rPr>
      <w:rFonts w:ascii="Arial" w:hAnsi="Arial" w:cs="Arial"/>
      <w:b/>
      <w:b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429149">
      <w:bodyDiv w:val="1"/>
      <w:marLeft w:val="0"/>
      <w:marRight w:val="0"/>
      <w:marTop w:val="0"/>
      <w:marBottom w:val="0"/>
      <w:divBdr>
        <w:top w:val="none" w:sz="0" w:space="0" w:color="auto"/>
        <w:left w:val="none" w:sz="0" w:space="0" w:color="auto"/>
        <w:bottom w:val="none" w:sz="0" w:space="0" w:color="auto"/>
        <w:right w:val="none" w:sz="0" w:space="0" w:color="auto"/>
      </w:divBdr>
    </w:div>
    <w:div w:id="195506770">
      <w:bodyDiv w:val="1"/>
      <w:marLeft w:val="0"/>
      <w:marRight w:val="0"/>
      <w:marTop w:val="0"/>
      <w:marBottom w:val="0"/>
      <w:divBdr>
        <w:top w:val="none" w:sz="0" w:space="0" w:color="auto"/>
        <w:left w:val="none" w:sz="0" w:space="0" w:color="auto"/>
        <w:bottom w:val="none" w:sz="0" w:space="0" w:color="auto"/>
        <w:right w:val="none" w:sz="0" w:space="0" w:color="auto"/>
      </w:divBdr>
    </w:div>
    <w:div w:id="249781844">
      <w:bodyDiv w:val="1"/>
      <w:marLeft w:val="0"/>
      <w:marRight w:val="0"/>
      <w:marTop w:val="0"/>
      <w:marBottom w:val="0"/>
      <w:divBdr>
        <w:top w:val="none" w:sz="0" w:space="0" w:color="auto"/>
        <w:left w:val="none" w:sz="0" w:space="0" w:color="auto"/>
        <w:bottom w:val="none" w:sz="0" w:space="0" w:color="auto"/>
        <w:right w:val="none" w:sz="0" w:space="0" w:color="auto"/>
      </w:divBdr>
      <w:divsChild>
        <w:div w:id="9069061">
          <w:marLeft w:val="835"/>
          <w:marRight w:val="0"/>
          <w:marTop w:val="86"/>
          <w:marBottom w:val="0"/>
          <w:divBdr>
            <w:top w:val="none" w:sz="0" w:space="0" w:color="auto"/>
            <w:left w:val="none" w:sz="0" w:space="0" w:color="auto"/>
            <w:bottom w:val="none" w:sz="0" w:space="0" w:color="auto"/>
            <w:right w:val="none" w:sz="0" w:space="0" w:color="auto"/>
          </w:divBdr>
        </w:div>
        <w:div w:id="1437672924">
          <w:marLeft w:val="835"/>
          <w:marRight w:val="0"/>
          <w:marTop w:val="86"/>
          <w:marBottom w:val="0"/>
          <w:divBdr>
            <w:top w:val="none" w:sz="0" w:space="0" w:color="auto"/>
            <w:left w:val="none" w:sz="0" w:space="0" w:color="auto"/>
            <w:bottom w:val="none" w:sz="0" w:space="0" w:color="auto"/>
            <w:right w:val="none" w:sz="0" w:space="0" w:color="auto"/>
          </w:divBdr>
        </w:div>
        <w:div w:id="1855729850">
          <w:marLeft w:val="835"/>
          <w:marRight w:val="0"/>
          <w:marTop w:val="86"/>
          <w:marBottom w:val="0"/>
          <w:divBdr>
            <w:top w:val="none" w:sz="0" w:space="0" w:color="auto"/>
            <w:left w:val="none" w:sz="0" w:space="0" w:color="auto"/>
            <w:bottom w:val="none" w:sz="0" w:space="0" w:color="auto"/>
            <w:right w:val="none" w:sz="0" w:space="0" w:color="auto"/>
          </w:divBdr>
        </w:div>
      </w:divsChild>
    </w:div>
    <w:div w:id="426198568">
      <w:bodyDiv w:val="1"/>
      <w:marLeft w:val="0"/>
      <w:marRight w:val="0"/>
      <w:marTop w:val="0"/>
      <w:marBottom w:val="0"/>
      <w:divBdr>
        <w:top w:val="none" w:sz="0" w:space="0" w:color="auto"/>
        <w:left w:val="none" w:sz="0" w:space="0" w:color="auto"/>
        <w:bottom w:val="none" w:sz="0" w:space="0" w:color="auto"/>
        <w:right w:val="none" w:sz="0" w:space="0" w:color="auto"/>
      </w:divBdr>
      <w:divsChild>
        <w:div w:id="586115240">
          <w:marLeft w:val="835"/>
          <w:marRight w:val="0"/>
          <w:marTop w:val="77"/>
          <w:marBottom w:val="0"/>
          <w:divBdr>
            <w:top w:val="none" w:sz="0" w:space="0" w:color="auto"/>
            <w:left w:val="none" w:sz="0" w:space="0" w:color="auto"/>
            <w:bottom w:val="none" w:sz="0" w:space="0" w:color="auto"/>
            <w:right w:val="none" w:sz="0" w:space="0" w:color="auto"/>
          </w:divBdr>
        </w:div>
        <w:div w:id="631130608">
          <w:marLeft w:val="835"/>
          <w:marRight w:val="0"/>
          <w:marTop w:val="77"/>
          <w:marBottom w:val="0"/>
          <w:divBdr>
            <w:top w:val="none" w:sz="0" w:space="0" w:color="auto"/>
            <w:left w:val="none" w:sz="0" w:space="0" w:color="auto"/>
            <w:bottom w:val="none" w:sz="0" w:space="0" w:color="auto"/>
            <w:right w:val="none" w:sz="0" w:space="0" w:color="auto"/>
          </w:divBdr>
        </w:div>
        <w:div w:id="786968539">
          <w:marLeft w:val="835"/>
          <w:marRight w:val="0"/>
          <w:marTop w:val="77"/>
          <w:marBottom w:val="0"/>
          <w:divBdr>
            <w:top w:val="none" w:sz="0" w:space="0" w:color="auto"/>
            <w:left w:val="none" w:sz="0" w:space="0" w:color="auto"/>
            <w:bottom w:val="none" w:sz="0" w:space="0" w:color="auto"/>
            <w:right w:val="none" w:sz="0" w:space="0" w:color="auto"/>
          </w:divBdr>
        </w:div>
        <w:div w:id="898514506">
          <w:marLeft w:val="274"/>
          <w:marRight w:val="0"/>
          <w:marTop w:val="86"/>
          <w:marBottom w:val="0"/>
          <w:divBdr>
            <w:top w:val="none" w:sz="0" w:space="0" w:color="auto"/>
            <w:left w:val="none" w:sz="0" w:space="0" w:color="auto"/>
            <w:bottom w:val="none" w:sz="0" w:space="0" w:color="auto"/>
            <w:right w:val="none" w:sz="0" w:space="0" w:color="auto"/>
          </w:divBdr>
        </w:div>
        <w:div w:id="986742677">
          <w:marLeft w:val="835"/>
          <w:marRight w:val="0"/>
          <w:marTop w:val="77"/>
          <w:marBottom w:val="0"/>
          <w:divBdr>
            <w:top w:val="none" w:sz="0" w:space="0" w:color="auto"/>
            <w:left w:val="none" w:sz="0" w:space="0" w:color="auto"/>
            <w:bottom w:val="none" w:sz="0" w:space="0" w:color="auto"/>
            <w:right w:val="none" w:sz="0" w:space="0" w:color="auto"/>
          </w:divBdr>
        </w:div>
        <w:div w:id="1118723685">
          <w:marLeft w:val="835"/>
          <w:marRight w:val="0"/>
          <w:marTop w:val="77"/>
          <w:marBottom w:val="0"/>
          <w:divBdr>
            <w:top w:val="none" w:sz="0" w:space="0" w:color="auto"/>
            <w:left w:val="none" w:sz="0" w:space="0" w:color="auto"/>
            <w:bottom w:val="none" w:sz="0" w:space="0" w:color="auto"/>
            <w:right w:val="none" w:sz="0" w:space="0" w:color="auto"/>
          </w:divBdr>
        </w:div>
        <w:div w:id="1205021139">
          <w:marLeft w:val="274"/>
          <w:marRight w:val="0"/>
          <w:marTop w:val="86"/>
          <w:marBottom w:val="0"/>
          <w:divBdr>
            <w:top w:val="none" w:sz="0" w:space="0" w:color="auto"/>
            <w:left w:val="none" w:sz="0" w:space="0" w:color="auto"/>
            <w:bottom w:val="none" w:sz="0" w:space="0" w:color="auto"/>
            <w:right w:val="none" w:sz="0" w:space="0" w:color="auto"/>
          </w:divBdr>
        </w:div>
        <w:div w:id="1398474336">
          <w:marLeft w:val="835"/>
          <w:marRight w:val="0"/>
          <w:marTop w:val="77"/>
          <w:marBottom w:val="0"/>
          <w:divBdr>
            <w:top w:val="none" w:sz="0" w:space="0" w:color="auto"/>
            <w:left w:val="none" w:sz="0" w:space="0" w:color="auto"/>
            <w:bottom w:val="none" w:sz="0" w:space="0" w:color="auto"/>
            <w:right w:val="none" w:sz="0" w:space="0" w:color="auto"/>
          </w:divBdr>
        </w:div>
        <w:div w:id="1846044739">
          <w:marLeft w:val="835"/>
          <w:marRight w:val="0"/>
          <w:marTop w:val="77"/>
          <w:marBottom w:val="0"/>
          <w:divBdr>
            <w:top w:val="none" w:sz="0" w:space="0" w:color="auto"/>
            <w:left w:val="none" w:sz="0" w:space="0" w:color="auto"/>
            <w:bottom w:val="none" w:sz="0" w:space="0" w:color="auto"/>
            <w:right w:val="none" w:sz="0" w:space="0" w:color="auto"/>
          </w:divBdr>
        </w:div>
        <w:div w:id="1967272982">
          <w:marLeft w:val="835"/>
          <w:marRight w:val="0"/>
          <w:marTop w:val="77"/>
          <w:marBottom w:val="0"/>
          <w:divBdr>
            <w:top w:val="none" w:sz="0" w:space="0" w:color="auto"/>
            <w:left w:val="none" w:sz="0" w:space="0" w:color="auto"/>
            <w:bottom w:val="none" w:sz="0" w:space="0" w:color="auto"/>
            <w:right w:val="none" w:sz="0" w:space="0" w:color="auto"/>
          </w:divBdr>
        </w:div>
        <w:div w:id="2099446974">
          <w:marLeft w:val="274"/>
          <w:marRight w:val="0"/>
          <w:marTop w:val="86"/>
          <w:marBottom w:val="0"/>
          <w:divBdr>
            <w:top w:val="none" w:sz="0" w:space="0" w:color="auto"/>
            <w:left w:val="none" w:sz="0" w:space="0" w:color="auto"/>
            <w:bottom w:val="none" w:sz="0" w:space="0" w:color="auto"/>
            <w:right w:val="none" w:sz="0" w:space="0" w:color="auto"/>
          </w:divBdr>
        </w:div>
      </w:divsChild>
    </w:div>
    <w:div w:id="437527234">
      <w:bodyDiv w:val="1"/>
      <w:marLeft w:val="0"/>
      <w:marRight w:val="0"/>
      <w:marTop w:val="0"/>
      <w:marBottom w:val="0"/>
      <w:divBdr>
        <w:top w:val="none" w:sz="0" w:space="0" w:color="auto"/>
        <w:left w:val="none" w:sz="0" w:space="0" w:color="auto"/>
        <w:bottom w:val="none" w:sz="0" w:space="0" w:color="auto"/>
        <w:right w:val="none" w:sz="0" w:space="0" w:color="auto"/>
      </w:divBdr>
    </w:div>
    <w:div w:id="521474139">
      <w:bodyDiv w:val="1"/>
      <w:marLeft w:val="0"/>
      <w:marRight w:val="0"/>
      <w:marTop w:val="0"/>
      <w:marBottom w:val="0"/>
      <w:divBdr>
        <w:top w:val="none" w:sz="0" w:space="0" w:color="auto"/>
        <w:left w:val="none" w:sz="0" w:space="0" w:color="auto"/>
        <w:bottom w:val="none" w:sz="0" w:space="0" w:color="auto"/>
        <w:right w:val="none" w:sz="0" w:space="0" w:color="auto"/>
      </w:divBdr>
      <w:divsChild>
        <w:div w:id="186869226">
          <w:marLeft w:val="835"/>
          <w:marRight w:val="0"/>
          <w:marTop w:val="77"/>
          <w:marBottom w:val="0"/>
          <w:divBdr>
            <w:top w:val="none" w:sz="0" w:space="0" w:color="auto"/>
            <w:left w:val="none" w:sz="0" w:space="0" w:color="auto"/>
            <w:bottom w:val="none" w:sz="0" w:space="0" w:color="auto"/>
            <w:right w:val="none" w:sz="0" w:space="0" w:color="auto"/>
          </w:divBdr>
        </w:div>
        <w:div w:id="723021276">
          <w:marLeft w:val="835"/>
          <w:marRight w:val="0"/>
          <w:marTop w:val="77"/>
          <w:marBottom w:val="0"/>
          <w:divBdr>
            <w:top w:val="none" w:sz="0" w:space="0" w:color="auto"/>
            <w:left w:val="none" w:sz="0" w:space="0" w:color="auto"/>
            <w:bottom w:val="none" w:sz="0" w:space="0" w:color="auto"/>
            <w:right w:val="none" w:sz="0" w:space="0" w:color="auto"/>
          </w:divBdr>
        </w:div>
        <w:div w:id="1710182870">
          <w:marLeft w:val="835"/>
          <w:marRight w:val="0"/>
          <w:marTop w:val="77"/>
          <w:marBottom w:val="0"/>
          <w:divBdr>
            <w:top w:val="none" w:sz="0" w:space="0" w:color="auto"/>
            <w:left w:val="none" w:sz="0" w:space="0" w:color="auto"/>
            <w:bottom w:val="none" w:sz="0" w:space="0" w:color="auto"/>
            <w:right w:val="none" w:sz="0" w:space="0" w:color="auto"/>
          </w:divBdr>
        </w:div>
      </w:divsChild>
    </w:div>
    <w:div w:id="548763965">
      <w:bodyDiv w:val="1"/>
      <w:marLeft w:val="0"/>
      <w:marRight w:val="0"/>
      <w:marTop w:val="0"/>
      <w:marBottom w:val="0"/>
      <w:divBdr>
        <w:top w:val="none" w:sz="0" w:space="0" w:color="auto"/>
        <w:left w:val="none" w:sz="0" w:space="0" w:color="auto"/>
        <w:bottom w:val="none" w:sz="0" w:space="0" w:color="auto"/>
        <w:right w:val="none" w:sz="0" w:space="0" w:color="auto"/>
      </w:divBdr>
      <w:divsChild>
        <w:div w:id="318076654">
          <w:marLeft w:val="274"/>
          <w:marRight w:val="0"/>
          <w:marTop w:val="96"/>
          <w:marBottom w:val="0"/>
          <w:divBdr>
            <w:top w:val="none" w:sz="0" w:space="0" w:color="auto"/>
            <w:left w:val="none" w:sz="0" w:space="0" w:color="auto"/>
            <w:bottom w:val="none" w:sz="0" w:space="0" w:color="auto"/>
            <w:right w:val="none" w:sz="0" w:space="0" w:color="auto"/>
          </w:divBdr>
        </w:div>
        <w:div w:id="709039849">
          <w:marLeft w:val="835"/>
          <w:marRight w:val="0"/>
          <w:marTop w:val="86"/>
          <w:marBottom w:val="0"/>
          <w:divBdr>
            <w:top w:val="none" w:sz="0" w:space="0" w:color="auto"/>
            <w:left w:val="none" w:sz="0" w:space="0" w:color="auto"/>
            <w:bottom w:val="none" w:sz="0" w:space="0" w:color="auto"/>
            <w:right w:val="none" w:sz="0" w:space="0" w:color="auto"/>
          </w:divBdr>
        </w:div>
        <w:div w:id="1472288951">
          <w:marLeft w:val="835"/>
          <w:marRight w:val="0"/>
          <w:marTop w:val="86"/>
          <w:marBottom w:val="0"/>
          <w:divBdr>
            <w:top w:val="none" w:sz="0" w:space="0" w:color="auto"/>
            <w:left w:val="none" w:sz="0" w:space="0" w:color="auto"/>
            <w:bottom w:val="none" w:sz="0" w:space="0" w:color="auto"/>
            <w:right w:val="none" w:sz="0" w:space="0" w:color="auto"/>
          </w:divBdr>
        </w:div>
        <w:div w:id="1660575922">
          <w:marLeft w:val="835"/>
          <w:marRight w:val="0"/>
          <w:marTop w:val="86"/>
          <w:marBottom w:val="0"/>
          <w:divBdr>
            <w:top w:val="none" w:sz="0" w:space="0" w:color="auto"/>
            <w:left w:val="none" w:sz="0" w:space="0" w:color="auto"/>
            <w:bottom w:val="none" w:sz="0" w:space="0" w:color="auto"/>
            <w:right w:val="none" w:sz="0" w:space="0" w:color="auto"/>
          </w:divBdr>
        </w:div>
      </w:divsChild>
    </w:div>
    <w:div w:id="589387463">
      <w:bodyDiv w:val="1"/>
      <w:marLeft w:val="0"/>
      <w:marRight w:val="0"/>
      <w:marTop w:val="0"/>
      <w:marBottom w:val="0"/>
      <w:divBdr>
        <w:top w:val="none" w:sz="0" w:space="0" w:color="auto"/>
        <w:left w:val="none" w:sz="0" w:space="0" w:color="auto"/>
        <w:bottom w:val="none" w:sz="0" w:space="0" w:color="auto"/>
        <w:right w:val="none" w:sz="0" w:space="0" w:color="auto"/>
      </w:divBdr>
    </w:div>
    <w:div w:id="602416326">
      <w:bodyDiv w:val="1"/>
      <w:marLeft w:val="0"/>
      <w:marRight w:val="0"/>
      <w:marTop w:val="0"/>
      <w:marBottom w:val="0"/>
      <w:divBdr>
        <w:top w:val="none" w:sz="0" w:space="0" w:color="auto"/>
        <w:left w:val="none" w:sz="0" w:space="0" w:color="auto"/>
        <w:bottom w:val="none" w:sz="0" w:space="0" w:color="auto"/>
        <w:right w:val="none" w:sz="0" w:space="0" w:color="auto"/>
      </w:divBdr>
    </w:div>
    <w:div w:id="698818107">
      <w:bodyDiv w:val="1"/>
      <w:marLeft w:val="0"/>
      <w:marRight w:val="0"/>
      <w:marTop w:val="0"/>
      <w:marBottom w:val="0"/>
      <w:divBdr>
        <w:top w:val="none" w:sz="0" w:space="0" w:color="auto"/>
        <w:left w:val="none" w:sz="0" w:space="0" w:color="auto"/>
        <w:bottom w:val="none" w:sz="0" w:space="0" w:color="auto"/>
        <w:right w:val="none" w:sz="0" w:space="0" w:color="auto"/>
      </w:divBdr>
    </w:div>
    <w:div w:id="700908064">
      <w:bodyDiv w:val="1"/>
      <w:marLeft w:val="0"/>
      <w:marRight w:val="0"/>
      <w:marTop w:val="0"/>
      <w:marBottom w:val="0"/>
      <w:divBdr>
        <w:top w:val="none" w:sz="0" w:space="0" w:color="auto"/>
        <w:left w:val="none" w:sz="0" w:space="0" w:color="auto"/>
        <w:bottom w:val="none" w:sz="0" w:space="0" w:color="auto"/>
        <w:right w:val="none" w:sz="0" w:space="0" w:color="auto"/>
      </w:divBdr>
    </w:div>
    <w:div w:id="738139623">
      <w:bodyDiv w:val="1"/>
      <w:marLeft w:val="0"/>
      <w:marRight w:val="0"/>
      <w:marTop w:val="0"/>
      <w:marBottom w:val="0"/>
      <w:divBdr>
        <w:top w:val="none" w:sz="0" w:space="0" w:color="auto"/>
        <w:left w:val="none" w:sz="0" w:space="0" w:color="auto"/>
        <w:bottom w:val="none" w:sz="0" w:space="0" w:color="auto"/>
        <w:right w:val="none" w:sz="0" w:space="0" w:color="auto"/>
      </w:divBdr>
      <w:divsChild>
        <w:div w:id="183522081">
          <w:marLeft w:val="835"/>
          <w:marRight w:val="0"/>
          <w:marTop w:val="77"/>
          <w:marBottom w:val="0"/>
          <w:divBdr>
            <w:top w:val="none" w:sz="0" w:space="0" w:color="auto"/>
            <w:left w:val="none" w:sz="0" w:space="0" w:color="auto"/>
            <w:bottom w:val="none" w:sz="0" w:space="0" w:color="auto"/>
            <w:right w:val="none" w:sz="0" w:space="0" w:color="auto"/>
          </w:divBdr>
        </w:div>
      </w:divsChild>
    </w:div>
    <w:div w:id="870608421">
      <w:bodyDiv w:val="1"/>
      <w:marLeft w:val="0"/>
      <w:marRight w:val="0"/>
      <w:marTop w:val="0"/>
      <w:marBottom w:val="0"/>
      <w:divBdr>
        <w:top w:val="none" w:sz="0" w:space="0" w:color="auto"/>
        <w:left w:val="none" w:sz="0" w:space="0" w:color="auto"/>
        <w:bottom w:val="none" w:sz="0" w:space="0" w:color="auto"/>
        <w:right w:val="none" w:sz="0" w:space="0" w:color="auto"/>
      </w:divBdr>
    </w:div>
    <w:div w:id="893468578">
      <w:bodyDiv w:val="1"/>
      <w:marLeft w:val="0"/>
      <w:marRight w:val="0"/>
      <w:marTop w:val="0"/>
      <w:marBottom w:val="0"/>
      <w:divBdr>
        <w:top w:val="none" w:sz="0" w:space="0" w:color="auto"/>
        <w:left w:val="none" w:sz="0" w:space="0" w:color="auto"/>
        <w:bottom w:val="none" w:sz="0" w:space="0" w:color="auto"/>
        <w:right w:val="none" w:sz="0" w:space="0" w:color="auto"/>
      </w:divBdr>
    </w:div>
    <w:div w:id="918639676">
      <w:bodyDiv w:val="1"/>
      <w:marLeft w:val="0"/>
      <w:marRight w:val="0"/>
      <w:marTop w:val="0"/>
      <w:marBottom w:val="0"/>
      <w:divBdr>
        <w:top w:val="none" w:sz="0" w:space="0" w:color="auto"/>
        <w:left w:val="none" w:sz="0" w:space="0" w:color="auto"/>
        <w:bottom w:val="none" w:sz="0" w:space="0" w:color="auto"/>
        <w:right w:val="none" w:sz="0" w:space="0" w:color="auto"/>
      </w:divBdr>
    </w:div>
    <w:div w:id="939993200">
      <w:bodyDiv w:val="1"/>
      <w:marLeft w:val="0"/>
      <w:marRight w:val="0"/>
      <w:marTop w:val="0"/>
      <w:marBottom w:val="0"/>
      <w:divBdr>
        <w:top w:val="none" w:sz="0" w:space="0" w:color="auto"/>
        <w:left w:val="none" w:sz="0" w:space="0" w:color="auto"/>
        <w:bottom w:val="none" w:sz="0" w:space="0" w:color="auto"/>
        <w:right w:val="none" w:sz="0" w:space="0" w:color="auto"/>
      </w:divBdr>
    </w:div>
    <w:div w:id="1060788676">
      <w:bodyDiv w:val="1"/>
      <w:marLeft w:val="0"/>
      <w:marRight w:val="0"/>
      <w:marTop w:val="0"/>
      <w:marBottom w:val="0"/>
      <w:divBdr>
        <w:top w:val="none" w:sz="0" w:space="0" w:color="auto"/>
        <w:left w:val="none" w:sz="0" w:space="0" w:color="auto"/>
        <w:bottom w:val="none" w:sz="0" w:space="0" w:color="auto"/>
        <w:right w:val="none" w:sz="0" w:space="0" w:color="auto"/>
      </w:divBdr>
      <w:divsChild>
        <w:div w:id="405608912">
          <w:marLeft w:val="274"/>
          <w:marRight w:val="0"/>
          <w:marTop w:val="115"/>
          <w:marBottom w:val="0"/>
          <w:divBdr>
            <w:top w:val="none" w:sz="0" w:space="0" w:color="auto"/>
            <w:left w:val="none" w:sz="0" w:space="0" w:color="auto"/>
            <w:bottom w:val="none" w:sz="0" w:space="0" w:color="auto"/>
            <w:right w:val="none" w:sz="0" w:space="0" w:color="auto"/>
          </w:divBdr>
        </w:div>
        <w:div w:id="838078274">
          <w:marLeft w:val="835"/>
          <w:marRight w:val="0"/>
          <w:marTop w:val="96"/>
          <w:marBottom w:val="0"/>
          <w:divBdr>
            <w:top w:val="none" w:sz="0" w:space="0" w:color="auto"/>
            <w:left w:val="none" w:sz="0" w:space="0" w:color="auto"/>
            <w:bottom w:val="none" w:sz="0" w:space="0" w:color="auto"/>
            <w:right w:val="none" w:sz="0" w:space="0" w:color="auto"/>
          </w:divBdr>
        </w:div>
        <w:div w:id="965742729">
          <w:marLeft w:val="835"/>
          <w:marRight w:val="0"/>
          <w:marTop w:val="96"/>
          <w:marBottom w:val="0"/>
          <w:divBdr>
            <w:top w:val="none" w:sz="0" w:space="0" w:color="auto"/>
            <w:left w:val="none" w:sz="0" w:space="0" w:color="auto"/>
            <w:bottom w:val="none" w:sz="0" w:space="0" w:color="auto"/>
            <w:right w:val="none" w:sz="0" w:space="0" w:color="auto"/>
          </w:divBdr>
        </w:div>
        <w:div w:id="1168523914">
          <w:marLeft w:val="274"/>
          <w:marRight w:val="0"/>
          <w:marTop w:val="115"/>
          <w:marBottom w:val="0"/>
          <w:divBdr>
            <w:top w:val="none" w:sz="0" w:space="0" w:color="auto"/>
            <w:left w:val="none" w:sz="0" w:space="0" w:color="auto"/>
            <w:bottom w:val="none" w:sz="0" w:space="0" w:color="auto"/>
            <w:right w:val="none" w:sz="0" w:space="0" w:color="auto"/>
          </w:divBdr>
        </w:div>
        <w:div w:id="1218668878">
          <w:marLeft w:val="274"/>
          <w:marRight w:val="0"/>
          <w:marTop w:val="115"/>
          <w:marBottom w:val="0"/>
          <w:divBdr>
            <w:top w:val="none" w:sz="0" w:space="0" w:color="auto"/>
            <w:left w:val="none" w:sz="0" w:space="0" w:color="auto"/>
            <w:bottom w:val="none" w:sz="0" w:space="0" w:color="auto"/>
            <w:right w:val="none" w:sz="0" w:space="0" w:color="auto"/>
          </w:divBdr>
        </w:div>
        <w:div w:id="1553078909">
          <w:marLeft w:val="835"/>
          <w:marRight w:val="0"/>
          <w:marTop w:val="96"/>
          <w:marBottom w:val="0"/>
          <w:divBdr>
            <w:top w:val="none" w:sz="0" w:space="0" w:color="auto"/>
            <w:left w:val="none" w:sz="0" w:space="0" w:color="auto"/>
            <w:bottom w:val="none" w:sz="0" w:space="0" w:color="auto"/>
            <w:right w:val="none" w:sz="0" w:space="0" w:color="auto"/>
          </w:divBdr>
        </w:div>
      </w:divsChild>
    </w:div>
    <w:div w:id="1160272270">
      <w:bodyDiv w:val="1"/>
      <w:marLeft w:val="0"/>
      <w:marRight w:val="0"/>
      <w:marTop w:val="0"/>
      <w:marBottom w:val="0"/>
      <w:divBdr>
        <w:top w:val="none" w:sz="0" w:space="0" w:color="auto"/>
        <w:left w:val="none" w:sz="0" w:space="0" w:color="auto"/>
        <w:bottom w:val="none" w:sz="0" w:space="0" w:color="auto"/>
        <w:right w:val="none" w:sz="0" w:space="0" w:color="auto"/>
      </w:divBdr>
    </w:div>
    <w:div w:id="1160926461">
      <w:bodyDiv w:val="1"/>
      <w:marLeft w:val="0"/>
      <w:marRight w:val="0"/>
      <w:marTop w:val="0"/>
      <w:marBottom w:val="0"/>
      <w:divBdr>
        <w:top w:val="none" w:sz="0" w:space="0" w:color="auto"/>
        <w:left w:val="none" w:sz="0" w:space="0" w:color="auto"/>
        <w:bottom w:val="none" w:sz="0" w:space="0" w:color="auto"/>
        <w:right w:val="none" w:sz="0" w:space="0" w:color="auto"/>
      </w:divBdr>
    </w:div>
    <w:div w:id="1390031134">
      <w:bodyDiv w:val="1"/>
      <w:marLeft w:val="0"/>
      <w:marRight w:val="0"/>
      <w:marTop w:val="0"/>
      <w:marBottom w:val="0"/>
      <w:divBdr>
        <w:top w:val="none" w:sz="0" w:space="0" w:color="auto"/>
        <w:left w:val="none" w:sz="0" w:space="0" w:color="auto"/>
        <w:bottom w:val="none" w:sz="0" w:space="0" w:color="auto"/>
        <w:right w:val="none" w:sz="0" w:space="0" w:color="auto"/>
      </w:divBdr>
    </w:div>
    <w:div w:id="1455517504">
      <w:bodyDiv w:val="1"/>
      <w:marLeft w:val="0"/>
      <w:marRight w:val="0"/>
      <w:marTop w:val="0"/>
      <w:marBottom w:val="0"/>
      <w:divBdr>
        <w:top w:val="none" w:sz="0" w:space="0" w:color="auto"/>
        <w:left w:val="none" w:sz="0" w:space="0" w:color="auto"/>
        <w:bottom w:val="none" w:sz="0" w:space="0" w:color="auto"/>
        <w:right w:val="none" w:sz="0" w:space="0" w:color="auto"/>
      </w:divBdr>
      <w:divsChild>
        <w:div w:id="842431726">
          <w:marLeft w:val="835"/>
          <w:marRight w:val="0"/>
          <w:marTop w:val="86"/>
          <w:marBottom w:val="0"/>
          <w:divBdr>
            <w:top w:val="none" w:sz="0" w:space="0" w:color="auto"/>
            <w:left w:val="none" w:sz="0" w:space="0" w:color="auto"/>
            <w:bottom w:val="none" w:sz="0" w:space="0" w:color="auto"/>
            <w:right w:val="none" w:sz="0" w:space="0" w:color="auto"/>
          </w:divBdr>
        </w:div>
        <w:div w:id="1025061499">
          <w:marLeft w:val="835"/>
          <w:marRight w:val="0"/>
          <w:marTop w:val="86"/>
          <w:marBottom w:val="0"/>
          <w:divBdr>
            <w:top w:val="none" w:sz="0" w:space="0" w:color="auto"/>
            <w:left w:val="none" w:sz="0" w:space="0" w:color="auto"/>
            <w:bottom w:val="none" w:sz="0" w:space="0" w:color="auto"/>
            <w:right w:val="none" w:sz="0" w:space="0" w:color="auto"/>
          </w:divBdr>
        </w:div>
        <w:div w:id="1181698913">
          <w:marLeft w:val="835"/>
          <w:marRight w:val="0"/>
          <w:marTop w:val="86"/>
          <w:marBottom w:val="0"/>
          <w:divBdr>
            <w:top w:val="none" w:sz="0" w:space="0" w:color="auto"/>
            <w:left w:val="none" w:sz="0" w:space="0" w:color="auto"/>
            <w:bottom w:val="none" w:sz="0" w:space="0" w:color="auto"/>
            <w:right w:val="none" w:sz="0" w:space="0" w:color="auto"/>
          </w:divBdr>
        </w:div>
      </w:divsChild>
    </w:div>
    <w:div w:id="1495220093">
      <w:bodyDiv w:val="1"/>
      <w:marLeft w:val="0"/>
      <w:marRight w:val="0"/>
      <w:marTop w:val="0"/>
      <w:marBottom w:val="0"/>
      <w:divBdr>
        <w:top w:val="none" w:sz="0" w:space="0" w:color="auto"/>
        <w:left w:val="none" w:sz="0" w:space="0" w:color="auto"/>
        <w:bottom w:val="none" w:sz="0" w:space="0" w:color="auto"/>
        <w:right w:val="none" w:sz="0" w:space="0" w:color="auto"/>
      </w:divBdr>
      <w:divsChild>
        <w:div w:id="449784325">
          <w:marLeft w:val="274"/>
          <w:marRight w:val="0"/>
          <w:marTop w:val="115"/>
          <w:marBottom w:val="0"/>
          <w:divBdr>
            <w:top w:val="none" w:sz="0" w:space="0" w:color="auto"/>
            <w:left w:val="none" w:sz="0" w:space="0" w:color="auto"/>
            <w:bottom w:val="none" w:sz="0" w:space="0" w:color="auto"/>
            <w:right w:val="none" w:sz="0" w:space="0" w:color="auto"/>
          </w:divBdr>
        </w:div>
        <w:div w:id="614563800">
          <w:marLeft w:val="835"/>
          <w:marRight w:val="0"/>
          <w:marTop w:val="96"/>
          <w:marBottom w:val="0"/>
          <w:divBdr>
            <w:top w:val="none" w:sz="0" w:space="0" w:color="auto"/>
            <w:left w:val="none" w:sz="0" w:space="0" w:color="auto"/>
            <w:bottom w:val="none" w:sz="0" w:space="0" w:color="auto"/>
            <w:right w:val="none" w:sz="0" w:space="0" w:color="auto"/>
          </w:divBdr>
        </w:div>
        <w:div w:id="1314682133">
          <w:marLeft w:val="835"/>
          <w:marRight w:val="0"/>
          <w:marTop w:val="96"/>
          <w:marBottom w:val="0"/>
          <w:divBdr>
            <w:top w:val="none" w:sz="0" w:space="0" w:color="auto"/>
            <w:left w:val="none" w:sz="0" w:space="0" w:color="auto"/>
            <w:bottom w:val="none" w:sz="0" w:space="0" w:color="auto"/>
            <w:right w:val="none" w:sz="0" w:space="0" w:color="auto"/>
          </w:divBdr>
        </w:div>
        <w:div w:id="1400401041">
          <w:marLeft w:val="835"/>
          <w:marRight w:val="0"/>
          <w:marTop w:val="96"/>
          <w:marBottom w:val="0"/>
          <w:divBdr>
            <w:top w:val="none" w:sz="0" w:space="0" w:color="auto"/>
            <w:left w:val="none" w:sz="0" w:space="0" w:color="auto"/>
            <w:bottom w:val="none" w:sz="0" w:space="0" w:color="auto"/>
            <w:right w:val="none" w:sz="0" w:space="0" w:color="auto"/>
          </w:divBdr>
        </w:div>
      </w:divsChild>
    </w:div>
    <w:div w:id="1607691218">
      <w:bodyDiv w:val="1"/>
      <w:marLeft w:val="0"/>
      <w:marRight w:val="0"/>
      <w:marTop w:val="0"/>
      <w:marBottom w:val="0"/>
      <w:divBdr>
        <w:top w:val="none" w:sz="0" w:space="0" w:color="auto"/>
        <w:left w:val="none" w:sz="0" w:space="0" w:color="auto"/>
        <w:bottom w:val="none" w:sz="0" w:space="0" w:color="auto"/>
        <w:right w:val="none" w:sz="0" w:space="0" w:color="auto"/>
      </w:divBdr>
    </w:div>
    <w:div w:id="1651127671">
      <w:bodyDiv w:val="1"/>
      <w:marLeft w:val="0"/>
      <w:marRight w:val="0"/>
      <w:marTop w:val="0"/>
      <w:marBottom w:val="0"/>
      <w:divBdr>
        <w:top w:val="none" w:sz="0" w:space="0" w:color="auto"/>
        <w:left w:val="none" w:sz="0" w:space="0" w:color="auto"/>
        <w:bottom w:val="none" w:sz="0" w:space="0" w:color="auto"/>
        <w:right w:val="none" w:sz="0" w:space="0" w:color="auto"/>
      </w:divBdr>
    </w:div>
    <w:div w:id="1700162438">
      <w:bodyDiv w:val="1"/>
      <w:marLeft w:val="0"/>
      <w:marRight w:val="0"/>
      <w:marTop w:val="0"/>
      <w:marBottom w:val="0"/>
      <w:divBdr>
        <w:top w:val="none" w:sz="0" w:space="0" w:color="auto"/>
        <w:left w:val="none" w:sz="0" w:space="0" w:color="auto"/>
        <w:bottom w:val="none" w:sz="0" w:space="0" w:color="auto"/>
        <w:right w:val="none" w:sz="0" w:space="0" w:color="auto"/>
      </w:divBdr>
    </w:div>
    <w:div w:id="1711801106">
      <w:bodyDiv w:val="1"/>
      <w:marLeft w:val="0"/>
      <w:marRight w:val="0"/>
      <w:marTop w:val="0"/>
      <w:marBottom w:val="0"/>
      <w:divBdr>
        <w:top w:val="none" w:sz="0" w:space="0" w:color="auto"/>
        <w:left w:val="none" w:sz="0" w:space="0" w:color="auto"/>
        <w:bottom w:val="none" w:sz="0" w:space="0" w:color="auto"/>
        <w:right w:val="none" w:sz="0" w:space="0" w:color="auto"/>
      </w:divBdr>
      <w:divsChild>
        <w:div w:id="573705234">
          <w:marLeft w:val="835"/>
          <w:marRight w:val="0"/>
          <w:marTop w:val="96"/>
          <w:marBottom w:val="0"/>
          <w:divBdr>
            <w:top w:val="none" w:sz="0" w:space="0" w:color="auto"/>
            <w:left w:val="none" w:sz="0" w:space="0" w:color="auto"/>
            <w:bottom w:val="none" w:sz="0" w:space="0" w:color="auto"/>
            <w:right w:val="none" w:sz="0" w:space="0" w:color="auto"/>
          </w:divBdr>
        </w:div>
        <w:div w:id="592973211">
          <w:marLeft w:val="835"/>
          <w:marRight w:val="0"/>
          <w:marTop w:val="96"/>
          <w:marBottom w:val="0"/>
          <w:divBdr>
            <w:top w:val="none" w:sz="0" w:space="0" w:color="auto"/>
            <w:left w:val="none" w:sz="0" w:space="0" w:color="auto"/>
            <w:bottom w:val="none" w:sz="0" w:space="0" w:color="auto"/>
            <w:right w:val="none" w:sz="0" w:space="0" w:color="auto"/>
          </w:divBdr>
        </w:div>
        <w:div w:id="1344892782">
          <w:marLeft w:val="835"/>
          <w:marRight w:val="0"/>
          <w:marTop w:val="96"/>
          <w:marBottom w:val="0"/>
          <w:divBdr>
            <w:top w:val="none" w:sz="0" w:space="0" w:color="auto"/>
            <w:left w:val="none" w:sz="0" w:space="0" w:color="auto"/>
            <w:bottom w:val="none" w:sz="0" w:space="0" w:color="auto"/>
            <w:right w:val="none" w:sz="0" w:space="0" w:color="auto"/>
          </w:divBdr>
        </w:div>
        <w:div w:id="1913850814">
          <w:marLeft w:val="274"/>
          <w:marRight w:val="0"/>
          <w:marTop w:val="115"/>
          <w:marBottom w:val="0"/>
          <w:divBdr>
            <w:top w:val="none" w:sz="0" w:space="0" w:color="auto"/>
            <w:left w:val="none" w:sz="0" w:space="0" w:color="auto"/>
            <w:bottom w:val="none" w:sz="0" w:space="0" w:color="auto"/>
            <w:right w:val="none" w:sz="0" w:space="0" w:color="auto"/>
          </w:divBdr>
        </w:div>
      </w:divsChild>
    </w:div>
    <w:div w:id="1786845367">
      <w:bodyDiv w:val="1"/>
      <w:marLeft w:val="0"/>
      <w:marRight w:val="0"/>
      <w:marTop w:val="0"/>
      <w:marBottom w:val="0"/>
      <w:divBdr>
        <w:top w:val="none" w:sz="0" w:space="0" w:color="auto"/>
        <w:left w:val="none" w:sz="0" w:space="0" w:color="auto"/>
        <w:bottom w:val="none" w:sz="0" w:space="0" w:color="auto"/>
        <w:right w:val="none" w:sz="0" w:space="0" w:color="auto"/>
      </w:divBdr>
    </w:div>
    <w:div w:id="1802458046">
      <w:bodyDiv w:val="1"/>
      <w:marLeft w:val="0"/>
      <w:marRight w:val="0"/>
      <w:marTop w:val="0"/>
      <w:marBottom w:val="0"/>
      <w:divBdr>
        <w:top w:val="none" w:sz="0" w:space="0" w:color="auto"/>
        <w:left w:val="none" w:sz="0" w:space="0" w:color="auto"/>
        <w:bottom w:val="none" w:sz="0" w:space="0" w:color="auto"/>
        <w:right w:val="none" w:sz="0" w:space="0" w:color="auto"/>
      </w:divBdr>
    </w:div>
    <w:div w:id="2047020315">
      <w:bodyDiv w:val="1"/>
      <w:marLeft w:val="0"/>
      <w:marRight w:val="0"/>
      <w:marTop w:val="0"/>
      <w:marBottom w:val="0"/>
      <w:divBdr>
        <w:top w:val="none" w:sz="0" w:space="0" w:color="auto"/>
        <w:left w:val="none" w:sz="0" w:space="0" w:color="auto"/>
        <w:bottom w:val="none" w:sz="0" w:space="0" w:color="auto"/>
        <w:right w:val="none" w:sz="0" w:space="0" w:color="auto"/>
      </w:divBdr>
      <w:divsChild>
        <w:div w:id="2140566449">
          <w:marLeft w:val="1259"/>
          <w:marRight w:val="0"/>
          <w:marTop w:val="0"/>
          <w:marBottom w:val="0"/>
          <w:divBdr>
            <w:top w:val="none" w:sz="0" w:space="0" w:color="auto"/>
            <w:left w:val="single" w:sz="8" w:space="0" w:color="auto"/>
            <w:bottom w:val="none" w:sz="0" w:space="0" w:color="auto"/>
            <w:right w:val="none" w:sz="0" w:space="0" w:color="auto"/>
          </w:divBdr>
        </w:div>
      </w:divsChild>
    </w:div>
    <w:div w:id="2074112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5NUHHDQN7SK2-1-182510</_dlc_DocId>
    <TaxCatchAll xmlns="08b2df90-05d3-4030-90d4-c9feeb4a1cd9">
      <Value>10</Value>
      <Value>9</Value>
      <Value>8</Value>
      <Value>3</Value>
      <Value>1</Value>
    </TaxCatchAll>
    <_dlc_DocIdUrl xmlns="08b2df90-05d3-4030-90d4-c9feeb4a1cd9">
      <Url>https://ericoll.internal.ericsson.com/sites/star/_layouts/DocIdRedir.aspx?ID=5NUHHDQN7SK2-1-182510</Url>
      <Description>5NUHHDQN7SK2-1-182510</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CEE06E-466E-406D-A8DB-B7486FADF859}">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2.xml><?xml version="1.0" encoding="utf-8"?>
<ds:datastoreItem xmlns:ds="http://schemas.openxmlformats.org/officeDocument/2006/customXml" ds:itemID="{946061F1-835F-4530-ABD0-5527A065FC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97CDEC-E116-4E29-AE61-D3B55F430DFA}">
  <ds:schemaRefs>
    <ds:schemaRef ds:uri="http://schemas.microsoft.com/sharepoint/v3/contenttype/forms"/>
  </ds:schemaRefs>
</ds:datastoreItem>
</file>

<file path=customXml/itemProps4.xml><?xml version="1.0" encoding="utf-8"?>
<ds:datastoreItem xmlns:ds="http://schemas.openxmlformats.org/officeDocument/2006/customXml" ds:itemID="{35A17C3A-8C00-461B-BF18-3367A91D6161}">
  <ds:schemaRefs>
    <ds:schemaRef ds:uri="http://schemas.microsoft.com/sharepoint/events"/>
  </ds:schemaRefs>
</ds:datastoreItem>
</file>

<file path=customXml/itemProps5.xml><?xml version="1.0" encoding="utf-8"?>
<ds:datastoreItem xmlns:ds="http://schemas.openxmlformats.org/officeDocument/2006/customXml" ds:itemID="{C330DB7A-5F54-4733-845E-DFDB8C9FCBAE}">
  <ds:schemaRefs>
    <ds:schemaRef ds:uri="Microsoft.SharePoint.Taxonomy.ContentTypeSync"/>
  </ds:schemaRefs>
</ds:datastoreItem>
</file>

<file path=customXml/itemProps6.xml><?xml version="1.0" encoding="utf-8"?>
<ds:datastoreItem xmlns:ds="http://schemas.openxmlformats.org/officeDocument/2006/customXml" ds:itemID="{BAE4BC6D-F697-4104-9084-9E618043A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16</TotalTime>
  <Pages>3</Pages>
  <Words>817</Words>
  <Characters>6622</Characters>
  <Application>Microsoft Office Word</Application>
  <DocSecurity>0</DocSecurity>
  <Lines>55</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dc:description/>
  <cp:lastModifiedBy>Helka-Liina Maattanen</cp:lastModifiedBy>
  <cp:revision>4</cp:revision>
  <cp:lastPrinted>2016-08-03T08:58:00Z</cp:lastPrinted>
  <dcterms:created xsi:type="dcterms:W3CDTF">2017-09-28T23:49:00Z</dcterms:created>
  <dcterms:modified xsi:type="dcterms:W3CDTF">2017-09-29T00:09:00Z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2016-07-12T22:00:00Z</vt:filetime>
  </property>
  <property fmtid="{D5CDD505-2E9C-101B-9397-08002B2CF9AE}" pid="3" name="_dlc_DocIdItemGuid">
    <vt:lpwstr>03998e63-1a19-4abc-bf15-766347d1c01d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